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5219">
      <w:pPr>
        <w:spacing w:line="560" w:lineRule="exact"/>
        <w:jc w:val="left"/>
        <w:rPr>
          <w:rFonts w:ascii="楷体" w:hAnsi="楷体" w:eastAsia="楷体" w:cs="楷体"/>
          <w:color w:val="auto"/>
          <w:sz w:val="28"/>
          <w:szCs w:val="28"/>
        </w:rPr>
      </w:pPr>
      <w:bookmarkStart w:id="0" w:name="_GoBack"/>
      <w:r>
        <w:rPr>
          <w:rFonts w:hint="eastAsia" w:ascii="楷体" w:hAnsi="楷体" w:eastAsia="楷体" w:cs="楷体"/>
          <w:color w:val="auto"/>
          <w:sz w:val="28"/>
          <w:szCs w:val="28"/>
        </w:rPr>
        <w:t>附件1</w:t>
      </w:r>
    </w:p>
    <w:p w14:paraId="02FA7FB5">
      <w:pPr>
        <w:spacing w:line="560" w:lineRule="exact"/>
        <w:jc w:val="left"/>
        <w:rPr>
          <w:rFonts w:ascii="楷体" w:hAnsi="楷体" w:eastAsia="楷体" w:cs="楷体"/>
          <w:color w:val="auto"/>
          <w:sz w:val="28"/>
          <w:szCs w:val="28"/>
        </w:rPr>
      </w:pPr>
    </w:p>
    <w:p w14:paraId="75BB9666">
      <w:pPr>
        <w:spacing w:line="720" w:lineRule="exact"/>
        <w:jc w:val="center"/>
        <w:rPr>
          <w:rFonts w:hint="eastAsia" w:ascii="方正粗黑宋简体" w:hAnsi="方正粗黑宋简体" w:eastAsia="方正粗黑宋简体" w:cs="方正粗黑宋简体"/>
          <w:b/>
          <w:color w:val="auto"/>
          <w:sz w:val="44"/>
          <w:szCs w:val="44"/>
          <w:lang w:eastAsia="zh-CN"/>
        </w:rPr>
      </w:pPr>
      <w:r>
        <w:rPr>
          <w:rFonts w:hint="eastAsia" w:ascii="方正粗黑宋简体" w:hAnsi="方正粗黑宋简体" w:eastAsia="方正粗黑宋简体" w:cs="方正粗黑宋简体"/>
          <w:b/>
          <w:color w:val="auto"/>
          <w:sz w:val="44"/>
          <w:szCs w:val="44"/>
        </w:rPr>
        <w:t>202</w:t>
      </w:r>
      <w:r>
        <w:rPr>
          <w:rFonts w:hint="eastAsia" w:ascii="方正粗黑宋简体" w:hAnsi="方正粗黑宋简体" w:eastAsia="方正粗黑宋简体" w:cs="方正粗黑宋简体"/>
          <w:b/>
          <w:color w:val="auto"/>
          <w:sz w:val="44"/>
          <w:szCs w:val="44"/>
          <w:lang w:val="en-US" w:eastAsia="zh-CN"/>
        </w:rPr>
        <w:t>6</w:t>
      </w:r>
      <w:r>
        <w:rPr>
          <w:rFonts w:hint="eastAsia" w:ascii="方正粗黑宋简体" w:hAnsi="方正粗黑宋简体" w:eastAsia="方正粗黑宋简体" w:cs="方正粗黑宋简体"/>
          <w:b/>
          <w:color w:val="auto"/>
          <w:sz w:val="44"/>
          <w:szCs w:val="44"/>
        </w:rPr>
        <w:t>年度</w:t>
      </w:r>
      <w:r>
        <w:rPr>
          <w:rFonts w:hint="eastAsia" w:ascii="方正粗黑宋简体" w:hAnsi="方正粗黑宋简体" w:eastAsia="方正粗黑宋简体" w:cs="方正粗黑宋简体"/>
          <w:b/>
          <w:color w:val="auto"/>
          <w:sz w:val="44"/>
          <w:szCs w:val="44"/>
          <w:lang w:eastAsia="zh-CN"/>
        </w:rPr>
        <w:t>交通建设安全管理及大气污染</w:t>
      </w:r>
    </w:p>
    <w:p w14:paraId="3BE402FE">
      <w:pPr>
        <w:spacing w:line="720" w:lineRule="exact"/>
        <w:jc w:val="center"/>
        <w:rPr>
          <w:rFonts w:hint="eastAsia" w:ascii="方正粗黑宋简体" w:hAnsi="方正粗黑宋简体" w:eastAsia="方正粗黑宋简体" w:cs="方正粗黑宋简体"/>
          <w:b/>
          <w:color w:val="auto"/>
          <w:sz w:val="44"/>
          <w:szCs w:val="44"/>
        </w:rPr>
      </w:pPr>
      <w:r>
        <w:rPr>
          <w:rFonts w:hint="eastAsia" w:ascii="方正粗黑宋简体" w:hAnsi="方正粗黑宋简体" w:eastAsia="方正粗黑宋简体" w:cs="方正粗黑宋简体"/>
          <w:b/>
          <w:color w:val="auto"/>
          <w:sz w:val="44"/>
          <w:szCs w:val="44"/>
          <w:lang w:eastAsia="zh-CN"/>
        </w:rPr>
        <w:t>防治</w:t>
      </w:r>
      <w:r>
        <w:rPr>
          <w:rFonts w:hint="eastAsia" w:ascii="方正粗黑宋简体" w:hAnsi="方正粗黑宋简体" w:eastAsia="方正粗黑宋简体" w:cs="方正粗黑宋简体"/>
          <w:b/>
          <w:color w:val="auto"/>
          <w:sz w:val="44"/>
          <w:szCs w:val="44"/>
        </w:rPr>
        <w:t>业务委托服务机构项目采购代理机构</w:t>
      </w:r>
    </w:p>
    <w:p w14:paraId="766AC99D">
      <w:pPr>
        <w:spacing w:line="720" w:lineRule="exact"/>
        <w:jc w:val="center"/>
        <w:rPr>
          <w:color w:val="auto"/>
        </w:rPr>
      </w:pPr>
      <w:r>
        <w:rPr>
          <w:rFonts w:hint="eastAsia" w:ascii="方正粗黑宋简体" w:hAnsi="方正粗黑宋简体" w:eastAsia="方正粗黑宋简体" w:cs="方正粗黑宋简体"/>
          <w:b/>
          <w:color w:val="auto"/>
          <w:sz w:val="44"/>
          <w:szCs w:val="44"/>
        </w:rPr>
        <w:t>竞争性比选技术部</w:t>
      </w:r>
      <w:r>
        <w:rPr>
          <w:rFonts w:hint="eastAsia" w:ascii="方正粗黑宋简体" w:hAnsi="方正粗黑宋简体" w:eastAsia="方正粗黑宋简体" w:cs="方正粗黑宋简体"/>
          <w:b/>
          <w:color w:val="auto"/>
          <w:sz w:val="44"/>
          <w:szCs w:val="44"/>
          <w:lang w:val="en-US" w:eastAsia="zh-CN"/>
        </w:rPr>
        <w:t>分</w:t>
      </w:r>
      <w:r>
        <w:rPr>
          <w:rFonts w:hint="eastAsia" w:ascii="方正粗黑宋简体" w:hAnsi="方正粗黑宋简体" w:eastAsia="方正粗黑宋简体" w:cs="方正粗黑宋简体"/>
          <w:b/>
          <w:color w:val="auto"/>
          <w:sz w:val="44"/>
          <w:szCs w:val="44"/>
        </w:rPr>
        <w:t>评分办法</w:t>
      </w:r>
    </w:p>
    <w:p w14:paraId="45BB1AD5">
      <w:pPr>
        <w:spacing w:line="520" w:lineRule="exact"/>
        <w:ind w:firstLine="640" w:firstLineChars="200"/>
        <w:rPr>
          <w:rFonts w:ascii="Times New Roman" w:hAnsi="Times New Roman" w:eastAsia="黑体" w:cs="Times New Roman"/>
          <w:color w:val="auto"/>
          <w:sz w:val="32"/>
          <w:szCs w:val="32"/>
        </w:rPr>
      </w:pPr>
    </w:p>
    <w:p w14:paraId="5F76749D">
      <w:pPr>
        <w:spacing w:line="52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一、总则</w:t>
      </w:r>
    </w:p>
    <w:p w14:paraId="1255C3BB">
      <w:pPr>
        <w:spacing w:line="520" w:lineRule="exact"/>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此次评分满分为100分，比选小组根据申请人现场提交的材料进行评分，不接受任何后续递补材料。</w:t>
      </w:r>
    </w:p>
    <w:p w14:paraId="0F76FC9B">
      <w:pPr>
        <w:spacing w:line="52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二、评</w:t>
      </w:r>
      <w:r>
        <w:rPr>
          <w:rFonts w:hint="eastAsia" w:ascii="Times New Roman" w:hAnsi="Times New Roman" w:eastAsia="黑体" w:cs="Times New Roman"/>
          <w:color w:val="auto"/>
          <w:sz w:val="32"/>
          <w:szCs w:val="32"/>
        </w:rPr>
        <w:t>审标准（综合评分法）</w:t>
      </w:r>
    </w:p>
    <w:tbl>
      <w:tblPr>
        <w:tblStyle w:val="6"/>
        <w:tblW w:w="9407" w:type="dxa"/>
        <w:tblInd w:w="-142" w:type="dxa"/>
        <w:tblLayout w:type="fixed"/>
        <w:tblCellMar>
          <w:top w:w="0" w:type="dxa"/>
          <w:left w:w="0" w:type="dxa"/>
          <w:bottom w:w="0" w:type="dxa"/>
          <w:right w:w="0" w:type="dxa"/>
        </w:tblCellMar>
      </w:tblPr>
      <w:tblGrid>
        <w:gridCol w:w="911"/>
        <w:gridCol w:w="1750"/>
        <w:gridCol w:w="6746"/>
      </w:tblGrid>
      <w:tr w14:paraId="0D57C860">
        <w:tblPrEx>
          <w:tblCellMar>
            <w:top w:w="0" w:type="dxa"/>
            <w:left w:w="0" w:type="dxa"/>
            <w:bottom w:w="0" w:type="dxa"/>
            <w:right w:w="0" w:type="dxa"/>
          </w:tblCellMar>
        </w:tblPrEx>
        <w:trPr>
          <w:trHeight w:val="604" w:hRule="atLeast"/>
        </w:trPr>
        <w:tc>
          <w:tcPr>
            <w:tcW w:w="2661" w:type="dxa"/>
            <w:gridSpan w:val="2"/>
            <w:tcBorders>
              <w:top w:val="single" w:color="auto" w:sz="4" w:space="0"/>
              <w:left w:val="single" w:color="auto" w:sz="4" w:space="0"/>
              <w:bottom w:val="single" w:color="auto" w:sz="4" w:space="0"/>
              <w:right w:val="single" w:color="auto" w:sz="4" w:space="0"/>
            </w:tcBorders>
            <w:vAlign w:val="center"/>
          </w:tcPr>
          <w:p w14:paraId="4741D7A1">
            <w:pPr>
              <w:autoSpaceDE w:val="0"/>
              <w:autoSpaceDN w:val="0"/>
              <w:spacing w:line="360" w:lineRule="auto"/>
              <w:contextualSpacing/>
              <w:jc w:val="center"/>
              <w:rPr>
                <w:rFonts w:ascii="仿宋" w:hAnsi="仿宋" w:eastAsia="仿宋" w:cs="仿宋"/>
                <w:b/>
                <w:color w:val="auto"/>
                <w:szCs w:val="21"/>
              </w:rPr>
            </w:pPr>
            <w:r>
              <w:rPr>
                <w:rFonts w:hint="eastAsia" w:ascii="仿宋" w:hAnsi="仿宋" w:eastAsia="仿宋" w:cs="仿宋"/>
                <w:b/>
                <w:color w:val="auto"/>
                <w:szCs w:val="21"/>
              </w:rPr>
              <w:t>条款号</w:t>
            </w:r>
          </w:p>
        </w:tc>
        <w:tc>
          <w:tcPr>
            <w:tcW w:w="6746" w:type="dxa"/>
            <w:tcBorders>
              <w:top w:val="single" w:color="auto" w:sz="4" w:space="0"/>
              <w:left w:val="single" w:color="auto" w:sz="4" w:space="0"/>
              <w:bottom w:val="single" w:color="auto" w:sz="4" w:space="0"/>
              <w:right w:val="single" w:color="auto" w:sz="4" w:space="0"/>
            </w:tcBorders>
            <w:vAlign w:val="center"/>
          </w:tcPr>
          <w:p w14:paraId="6066F25F">
            <w:pPr>
              <w:autoSpaceDE w:val="0"/>
              <w:autoSpaceDN w:val="0"/>
              <w:spacing w:line="360" w:lineRule="auto"/>
              <w:ind w:left="2" w:leftChars="-7" w:hanging="17" w:hangingChars="8"/>
              <w:contextualSpacing/>
              <w:jc w:val="center"/>
              <w:rPr>
                <w:rFonts w:ascii="仿宋" w:hAnsi="仿宋" w:eastAsia="仿宋" w:cs="仿宋"/>
                <w:b/>
                <w:color w:val="auto"/>
                <w:szCs w:val="21"/>
              </w:rPr>
            </w:pPr>
            <w:r>
              <w:rPr>
                <w:rFonts w:hint="eastAsia" w:ascii="仿宋" w:hAnsi="仿宋" w:eastAsia="仿宋" w:cs="仿宋"/>
                <w:b/>
                <w:color w:val="auto"/>
                <w:szCs w:val="21"/>
              </w:rPr>
              <w:t>评审因素与评审标准</w:t>
            </w:r>
          </w:p>
        </w:tc>
      </w:tr>
      <w:tr w14:paraId="14963A65">
        <w:tblPrEx>
          <w:tblCellMar>
            <w:top w:w="0" w:type="dxa"/>
            <w:left w:w="0" w:type="dxa"/>
            <w:bottom w:w="0" w:type="dxa"/>
            <w:right w:w="0" w:type="dxa"/>
          </w:tblCellMar>
        </w:tblPrEx>
        <w:trPr>
          <w:trHeight w:val="604" w:hRule="atLeast"/>
        </w:trPr>
        <w:tc>
          <w:tcPr>
            <w:tcW w:w="911" w:type="dxa"/>
            <w:vMerge w:val="restart"/>
            <w:tcBorders>
              <w:top w:val="single" w:color="auto" w:sz="4" w:space="0"/>
              <w:left w:val="single" w:color="auto" w:sz="4" w:space="0"/>
              <w:right w:val="single" w:color="auto" w:sz="4" w:space="0"/>
            </w:tcBorders>
            <w:vAlign w:val="center"/>
          </w:tcPr>
          <w:p w14:paraId="5638B586">
            <w:pPr>
              <w:autoSpaceDE w:val="0"/>
              <w:autoSpaceDN w:val="0"/>
              <w:spacing w:line="360" w:lineRule="auto"/>
              <w:contextualSpacing/>
              <w:jc w:val="center"/>
              <w:rPr>
                <w:rFonts w:ascii="仿宋" w:hAnsi="仿宋" w:eastAsia="仿宋" w:cs="仿宋"/>
                <w:color w:val="auto"/>
                <w:szCs w:val="21"/>
              </w:rPr>
            </w:pPr>
            <w:r>
              <w:rPr>
                <w:rFonts w:hint="eastAsia" w:ascii="仿宋" w:hAnsi="仿宋" w:eastAsia="仿宋" w:cs="仿宋"/>
                <w:color w:val="auto"/>
                <w:szCs w:val="21"/>
              </w:rPr>
              <w:t>2.1</w:t>
            </w:r>
          </w:p>
        </w:tc>
        <w:tc>
          <w:tcPr>
            <w:tcW w:w="1750" w:type="dxa"/>
            <w:vMerge w:val="restart"/>
            <w:tcBorders>
              <w:top w:val="single" w:color="auto" w:sz="4" w:space="0"/>
              <w:left w:val="single" w:color="auto" w:sz="4" w:space="0"/>
              <w:right w:val="single" w:color="auto" w:sz="4" w:space="0"/>
            </w:tcBorders>
            <w:vAlign w:val="center"/>
          </w:tcPr>
          <w:p w14:paraId="1EB42D35">
            <w:pPr>
              <w:autoSpaceDE w:val="0"/>
              <w:autoSpaceDN w:val="0"/>
              <w:spacing w:line="360" w:lineRule="auto"/>
              <w:contextualSpacing/>
              <w:jc w:val="center"/>
              <w:rPr>
                <w:rFonts w:ascii="仿宋" w:hAnsi="仿宋" w:eastAsia="仿宋" w:cs="仿宋"/>
                <w:color w:val="auto"/>
                <w:szCs w:val="21"/>
              </w:rPr>
            </w:pPr>
            <w:r>
              <w:rPr>
                <w:rFonts w:hint="eastAsia" w:ascii="仿宋" w:hAnsi="仿宋" w:eastAsia="仿宋" w:cs="仿宋"/>
                <w:color w:val="auto"/>
                <w:szCs w:val="21"/>
              </w:rPr>
              <w:t>符合性评审</w:t>
            </w:r>
          </w:p>
        </w:tc>
        <w:tc>
          <w:tcPr>
            <w:tcW w:w="6746" w:type="dxa"/>
            <w:tcBorders>
              <w:top w:val="single" w:color="auto" w:sz="4" w:space="0"/>
              <w:left w:val="single" w:color="auto" w:sz="4" w:space="0"/>
              <w:bottom w:val="single" w:color="auto" w:sz="4" w:space="0"/>
              <w:right w:val="single" w:color="auto" w:sz="4" w:space="0"/>
            </w:tcBorders>
            <w:vAlign w:val="center"/>
          </w:tcPr>
          <w:p w14:paraId="3013A2E0">
            <w:pPr>
              <w:spacing w:line="400" w:lineRule="exact"/>
              <w:rPr>
                <w:rFonts w:ascii="仿宋" w:hAnsi="仿宋" w:eastAsia="仿宋" w:cs="仿宋"/>
                <w:color w:val="auto"/>
                <w:szCs w:val="21"/>
              </w:rPr>
            </w:pPr>
            <w:r>
              <w:rPr>
                <w:rFonts w:hint="eastAsia" w:ascii="仿宋" w:hAnsi="仿宋" w:eastAsia="仿宋" w:cs="仿宋"/>
                <w:color w:val="auto"/>
                <w:szCs w:val="21"/>
              </w:rPr>
              <w:t>资格条件符合竞争性比选公告文件第二条款中资格要求，提供的资格证明文件齐全且有效</w:t>
            </w:r>
          </w:p>
        </w:tc>
      </w:tr>
      <w:tr w14:paraId="066182C0">
        <w:tblPrEx>
          <w:tblCellMar>
            <w:top w:w="0" w:type="dxa"/>
            <w:left w:w="0" w:type="dxa"/>
            <w:bottom w:w="0" w:type="dxa"/>
            <w:right w:w="0" w:type="dxa"/>
          </w:tblCellMar>
        </w:tblPrEx>
        <w:trPr>
          <w:trHeight w:val="604" w:hRule="atLeast"/>
        </w:trPr>
        <w:tc>
          <w:tcPr>
            <w:tcW w:w="911" w:type="dxa"/>
            <w:vMerge w:val="continue"/>
            <w:tcBorders>
              <w:left w:val="single" w:color="auto" w:sz="4" w:space="0"/>
              <w:right w:val="single" w:color="auto" w:sz="4" w:space="0"/>
            </w:tcBorders>
            <w:vAlign w:val="center"/>
          </w:tcPr>
          <w:p w14:paraId="7A3F956E">
            <w:pPr>
              <w:autoSpaceDE w:val="0"/>
              <w:autoSpaceDN w:val="0"/>
              <w:spacing w:line="360" w:lineRule="auto"/>
              <w:contextualSpacing/>
              <w:jc w:val="center"/>
              <w:rPr>
                <w:rFonts w:ascii="仿宋" w:hAnsi="仿宋" w:eastAsia="仿宋" w:cs="仿宋"/>
                <w:b/>
                <w:color w:val="auto"/>
                <w:szCs w:val="21"/>
              </w:rPr>
            </w:pPr>
          </w:p>
        </w:tc>
        <w:tc>
          <w:tcPr>
            <w:tcW w:w="1750" w:type="dxa"/>
            <w:vMerge w:val="continue"/>
            <w:tcBorders>
              <w:left w:val="single" w:color="auto" w:sz="4" w:space="0"/>
              <w:right w:val="single" w:color="auto" w:sz="4" w:space="0"/>
            </w:tcBorders>
            <w:vAlign w:val="center"/>
          </w:tcPr>
          <w:p w14:paraId="1BEF02B5">
            <w:pPr>
              <w:autoSpaceDE w:val="0"/>
              <w:autoSpaceDN w:val="0"/>
              <w:spacing w:line="360" w:lineRule="auto"/>
              <w:contextualSpacing/>
              <w:jc w:val="center"/>
              <w:rPr>
                <w:rFonts w:ascii="仿宋" w:hAnsi="仿宋" w:eastAsia="仿宋" w:cs="仿宋"/>
                <w:b/>
                <w:color w:val="auto"/>
                <w:szCs w:val="21"/>
              </w:rPr>
            </w:pPr>
          </w:p>
        </w:tc>
        <w:tc>
          <w:tcPr>
            <w:tcW w:w="6746" w:type="dxa"/>
            <w:tcBorders>
              <w:top w:val="single" w:color="auto" w:sz="4" w:space="0"/>
              <w:left w:val="single" w:color="auto" w:sz="4" w:space="0"/>
              <w:bottom w:val="single" w:color="auto" w:sz="4" w:space="0"/>
              <w:right w:val="single" w:color="auto" w:sz="4" w:space="0"/>
            </w:tcBorders>
            <w:vAlign w:val="center"/>
          </w:tcPr>
          <w:p w14:paraId="39813BEE">
            <w:pPr>
              <w:autoSpaceDE w:val="0"/>
              <w:autoSpaceDN w:val="0"/>
              <w:spacing w:line="400" w:lineRule="exact"/>
              <w:contextualSpacing/>
              <w:rPr>
                <w:rFonts w:ascii="仿宋" w:hAnsi="仿宋" w:eastAsia="仿宋" w:cs="仿宋"/>
                <w:color w:val="auto"/>
                <w:szCs w:val="21"/>
              </w:rPr>
            </w:pPr>
            <w:r>
              <w:rPr>
                <w:rFonts w:hint="eastAsia" w:ascii="仿宋" w:hAnsi="仿宋" w:eastAsia="仿宋" w:cs="仿宋"/>
                <w:color w:val="auto"/>
                <w:szCs w:val="21"/>
              </w:rPr>
              <w:t>响应文件按竞争性比选公告文件要求加盖供应商单位公章或有法定代表人签名</w:t>
            </w:r>
          </w:p>
        </w:tc>
      </w:tr>
      <w:tr w14:paraId="67BD271A">
        <w:tblPrEx>
          <w:tblCellMar>
            <w:top w:w="0" w:type="dxa"/>
            <w:left w:w="0" w:type="dxa"/>
            <w:bottom w:w="0" w:type="dxa"/>
            <w:right w:w="0" w:type="dxa"/>
          </w:tblCellMar>
        </w:tblPrEx>
        <w:trPr>
          <w:trHeight w:val="604" w:hRule="atLeast"/>
        </w:trPr>
        <w:tc>
          <w:tcPr>
            <w:tcW w:w="911" w:type="dxa"/>
            <w:vMerge w:val="continue"/>
            <w:tcBorders>
              <w:left w:val="single" w:color="auto" w:sz="4" w:space="0"/>
              <w:right w:val="single" w:color="auto" w:sz="4" w:space="0"/>
            </w:tcBorders>
            <w:vAlign w:val="center"/>
          </w:tcPr>
          <w:p w14:paraId="0F15BB59">
            <w:pPr>
              <w:autoSpaceDE w:val="0"/>
              <w:autoSpaceDN w:val="0"/>
              <w:spacing w:line="360" w:lineRule="auto"/>
              <w:contextualSpacing/>
              <w:jc w:val="center"/>
              <w:rPr>
                <w:rFonts w:ascii="仿宋" w:hAnsi="仿宋" w:eastAsia="仿宋" w:cs="仿宋"/>
                <w:b/>
                <w:color w:val="auto"/>
                <w:szCs w:val="21"/>
              </w:rPr>
            </w:pPr>
          </w:p>
        </w:tc>
        <w:tc>
          <w:tcPr>
            <w:tcW w:w="1750" w:type="dxa"/>
            <w:vMerge w:val="continue"/>
            <w:tcBorders>
              <w:left w:val="single" w:color="auto" w:sz="4" w:space="0"/>
              <w:right w:val="single" w:color="auto" w:sz="4" w:space="0"/>
            </w:tcBorders>
            <w:vAlign w:val="center"/>
          </w:tcPr>
          <w:p w14:paraId="6A7A7CF9">
            <w:pPr>
              <w:autoSpaceDE w:val="0"/>
              <w:autoSpaceDN w:val="0"/>
              <w:spacing w:line="360" w:lineRule="auto"/>
              <w:contextualSpacing/>
              <w:jc w:val="center"/>
              <w:rPr>
                <w:rFonts w:ascii="仿宋" w:hAnsi="仿宋" w:eastAsia="仿宋" w:cs="仿宋"/>
                <w:b/>
                <w:color w:val="auto"/>
                <w:szCs w:val="21"/>
              </w:rPr>
            </w:pPr>
          </w:p>
        </w:tc>
        <w:tc>
          <w:tcPr>
            <w:tcW w:w="6746" w:type="dxa"/>
            <w:tcBorders>
              <w:top w:val="single" w:color="auto" w:sz="4" w:space="0"/>
              <w:left w:val="single" w:color="auto" w:sz="4" w:space="0"/>
              <w:bottom w:val="single" w:color="auto" w:sz="4" w:space="0"/>
              <w:right w:val="single" w:color="auto" w:sz="4" w:space="0"/>
            </w:tcBorders>
            <w:vAlign w:val="center"/>
          </w:tcPr>
          <w:p w14:paraId="66599F8D">
            <w:pPr>
              <w:autoSpaceDE w:val="0"/>
              <w:autoSpaceDN w:val="0"/>
              <w:spacing w:line="360" w:lineRule="auto"/>
              <w:contextualSpacing/>
              <w:rPr>
                <w:rFonts w:ascii="仿宋" w:hAnsi="仿宋" w:eastAsia="仿宋" w:cs="仿宋"/>
                <w:color w:val="auto"/>
                <w:szCs w:val="21"/>
              </w:rPr>
            </w:pPr>
            <w:r>
              <w:rPr>
                <w:rFonts w:hint="eastAsia" w:ascii="仿宋" w:hAnsi="仿宋" w:eastAsia="仿宋" w:cs="仿宋"/>
                <w:color w:val="auto"/>
                <w:szCs w:val="21"/>
              </w:rPr>
              <w:t>响应文件按规定的格式、内容和要求填写</w:t>
            </w:r>
          </w:p>
        </w:tc>
      </w:tr>
      <w:tr w14:paraId="5BAE5AE6">
        <w:tblPrEx>
          <w:tblCellMar>
            <w:top w:w="0" w:type="dxa"/>
            <w:left w:w="0" w:type="dxa"/>
            <w:bottom w:w="0" w:type="dxa"/>
            <w:right w:w="0" w:type="dxa"/>
          </w:tblCellMar>
        </w:tblPrEx>
        <w:trPr>
          <w:trHeight w:val="604" w:hRule="atLeast"/>
        </w:trPr>
        <w:tc>
          <w:tcPr>
            <w:tcW w:w="911" w:type="dxa"/>
            <w:vMerge w:val="continue"/>
            <w:tcBorders>
              <w:left w:val="single" w:color="auto" w:sz="4" w:space="0"/>
              <w:right w:val="single" w:color="auto" w:sz="4" w:space="0"/>
            </w:tcBorders>
            <w:vAlign w:val="center"/>
          </w:tcPr>
          <w:p w14:paraId="5B3A4BA4">
            <w:pPr>
              <w:autoSpaceDE w:val="0"/>
              <w:autoSpaceDN w:val="0"/>
              <w:spacing w:line="360" w:lineRule="auto"/>
              <w:contextualSpacing/>
              <w:jc w:val="center"/>
              <w:rPr>
                <w:rFonts w:ascii="仿宋" w:hAnsi="仿宋" w:eastAsia="仿宋" w:cs="仿宋"/>
                <w:b/>
                <w:color w:val="auto"/>
                <w:szCs w:val="21"/>
              </w:rPr>
            </w:pPr>
          </w:p>
        </w:tc>
        <w:tc>
          <w:tcPr>
            <w:tcW w:w="1750" w:type="dxa"/>
            <w:vMerge w:val="continue"/>
            <w:tcBorders>
              <w:left w:val="single" w:color="auto" w:sz="4" w:space="0"/>
              <w:right w:val="single" w:color="auto" w:sz="4" w:space="0"/>
            </w:tcBorders>
            <w:vAlign w:val="center"/>
          </w:tcPr>
          <w:p w14:paraId="0C69E530">
            <w:pPr>
              <w:autoSpaceDE w:val="0"/>
              <w:autoSpaceDN w:val="0"/>
              <w:spacing w:line="360" w:lineRule="auto"/>
              <w:contextualSpacing/>
              <w:jc w:val="center"/>
              <w:rPr>
                <w:rFonts w:ascii="仿宋" w:hAnsi="仿宋" w:eastAsia="仿宋" w:cs="仿宋"/>
                <w:b/>
                <w:color w:val="auto"/>
                <w:szCs w:val="21"/>
              </w:rPr>
            </w:pPr>
          </w:p>
        </w:tc>
        <w:tc>
          <w:tcPr>
            <w:tcW w:w="6746" w:type="dxa"/>
            <w:tcBorders>
              <w:top w:val="single" w:color="auto" w:sz="4" w:space="0"/>
              <w:left w:val="single" w:color="auto" w:sz="4" w:space="0"/>
              <w:bottom w:val="single" w:color="auto" w:sz="4" w:space="0"/>
              <w:right w:val="single" w:color="auto" w:sz="4" w:space="0"/>
            </w:tcBorders>
            <w:vAlign w:val="center"/>
          </w:tcPr>
          <w:p w14:paraId="1AEE5602">
            <w:pPr>
              <w:autoSpaceDE w:val="0"/>
              <w:autoSpaceDN w:val="0"/>
              <w:spacing w:line="360" w:lineRule="auto"/>
              <w:contextualSpacing/>
              <w:rPr>
                <w:rFonts w:ascii="仿宋" w:hAnsi="仿宋" w:eastAsia="仿宋" w:cs="仿宋"/>
                <w:color w:val="auto"/>
                <w:szCs w:val="21"/>
              </w:rPr>
            </w:pPr>
            <w:r>
              <w:rPr>
                <w:rFonts w:hint="eastAsia" w:ascii="仿宋" w:hAnsi="仿宋" w:eastAsia="仿宋" w:cs="仿宋"/>
                <w:color w:val="auto"/>
                <w:szCs w:val="21"/>
              </w:rPr>
              <w:t>响应文件没有书写潦草、字迹模糊不清难以辨认的</w:t>
            </w:r>
          </w:p>
        </w:tc>
      </w:tr>
      <w:tr w14:paraId="7AF6ED0E">
        <w:tblPrEx>
          <w:tblCellMar>
            <w:top w:w="0" w:type="dxa"/>
            <w:left w:w="0" w:type="dxa"/>
            <w:bottom w:w="0" w:type="dxa"/>
            <w:right w:w="0" w:type="dxa"/>
          </w:tblCellMar>
        </w:tblPrEx>
        <w:trPr>
          <w:trHeight w:val="604" w:hRule="atLeast"/>
        </w:trPr>
        <w:tc>
          <w:tcPr>
            <w:tcW w:w="911" w:type="dxa"/>
            <w:vMerge w:val="continue"/>
            <w:tcBorders>
              <w:left w:val="single" w:color="auto" w:sz="4" w:space="0"/>
              <w:right w:val="single" w:color="auto" w:sz="4" w:space="0"/>
            </w:tcBorders>
            <w:vAlign w:val="center"/>
          </w:tcPr>
          <w:p w14:paraId="5E5FA7BA">
            <w:pPr>
              <w:autoSpaceDE w:val="0"/>
              <w:autoSpaceDN w:val="0"/>
              <w:spacing w:line="360" w:lineRule="auto"/>
              <w:contextualSpacing/>
              <w:jc w:val="center"/>
              <w:rPr>
                <w:rFonts w:ascii="仿宋" w:hAnsi="仿宋" w:eastAsia="仿宋" w:cs="仿宋"/>
                <w:b/>
                <w:color w:val="auto"/>
                <w:szCs w:val="21"/>
              </w:rPr>
            </w:pPr>
          </w:p>
        </w:tc>
        <w:tc>
          <w:tcPr>
            <w:tcW w:w="1750" w:type="dxa"/>
            <w:vMerge w:val="continue"/>
            <w:tcBorders>
              <w:left w:val="single" w:color="auto" w:sz="4" w:space="0"/>
              <w:right w:val="single" w:color="auto" w:sz="4" w:space="0"/>
            </w:tcBorders>
            <w:vAlign w:val="center"/>
          </w:tcPr>
          <w:p w14:paraId="4CFB4AF7">
            <w:pPr>
              <w:autoSpaceDE w:val="0"/>
              <w:autoSpaceDN w:val="0"/>
              <w:spacing w:line="360" w:lineRule="auto"/>
              <w:contextualSpacing/>
              <w:jc w:val="center"/>
              <w:rPr>
                <w:rFonts w:ascii="仿宋" w:hAnsi="仿宋" w:eastAsia="仿宋" w:cs="仿宋"/>
                <w:b/>
                <w:color w:val="auto"/>
                <w:szCs w:val="21"/>
              </w:rPr>
            </w:pPr>
          </w:p>
        </w:tc>
        <w:tc>
          <w:tcPr>
            <w:tcW w:w="6746" w:type="dxa"/>
            <w:tcBorders>
              <w:top w:val="single" w:color="auto" w:sz="4" w:space="0"/>
              <w:left w:val="single" w:color="auto" w:sz="4" w:space="0"/>
              <w:bottom w:val="single" w:color="auto" w:sz="4" w:space="0"/>
              <w:right w:val="single" w:color="auto" w:sz="4" w:space="0"/>
            </w:tcBorders>
            <w:vAlign w:val="center"/>
          </w:tcPr>
          <w:p w14:paraId="3C646251">
            <w:pPr>
              <w:autoSpaceDE w:val="0"/>
              <w:autoSpaceDN w:val="0"/>
              <w:spacing w:line="360" w:lineRule="auto"/>
              <w:contextualSpacing/>
              <w:rPr>
                <w:rFonts w:ascii="仿宋" w:hAnsi="仿宋" w:eastAsia="仿宋" w:cs="仿宋"/>
                <w:color w:val="auto"/>
                <w:szCs w:val="21"/>
              </w:rPr>
            </w:pPr>
            <w:r>
              <w:rPr>
                <w:rFonts w:hint="eastAsia" w:ascii="仿宋" w:hAnsi="仿宋" w:eastAsia="仿宋" w:cs="仿宋"/>
                <w:color w:val="auto"/>
                <w:szCs w:val="21"/>
              </w:rPr>
              <w:t>没有串通投标、弄虚作假、行贿等违法行为的</w:t>
            </w:r>
          </w:p>
        </w:tc>
      </w:tr>
      <w:tr w14:paraId="5F268644">
        <w:tblPrEx>
          <w:tblCellMar>
            <w:top w:w="0" w:type="dxa"/>
            <w:left w:w="0" w:type="dxa"/>
            <w:bottom w:w="0" w:type="dxa"/>
            <w:right w:w="0" w:type="dxa"/>
          </w:tblCellMar>
        </w:tblPrEx>
        <w:trPr>
          <w:trHeight w:val="604" w:hRule="atLeast"/>
        </w:trPr>
        <w:tc>
          <w:tcPr>
            <w:tcW w:w="911" w:type="dxa"/>
            <w:vMerge w:val="continue"/>
            <w:tcBorders>
              <w:left w:val="single" w:color="auto" w:sz="4" w:space="0"/>
              <w:bottom w:val="single" w:color="auto" w:sz="4" w:space="0"/>
              <w:right w:val="single" w:color="auto" w:sz="4" w:space="0"/>
            </w:tcBorders>
            <w:vAlign w:val="center"/>
          </w:tcPr>
          <w:p w14:paraId="3A439029">
            <w:pPr>
              <w:autoSpaceDE w:val="0"/>
              <w:autoSpaceDN w:val="0"/>
              <w:spacing w:line="360" w:lineRule="auto"/>
              <w:contextualSpacing/>
              <w:jc w:val="center"/>
              <w:rPr>
                <w:rFonts w:ascii="仿宋" w:hAnsi="仿宋" w:eastAsia="仿宋" w:cs="仿宋"/>
                <w:b/>
                <w:color w:val="auto"/>
                <w:szCs w:val="21"/>
              </w:rPr>
            </w:pPr>
          </w:p>
        </w:tc>
        <w:tc>
          <w:tcPr>
            <w:tcW w:w="1750" w:type="dxa"/>
            <w:vMerge w:val="continue"/>
            <w:tcBorders>
              <w:left w:val="single" w:color="auto" w:sz="4" w:space="0"/>
              <w:bottom w:val="single" w:color="auto" w:sz="4" w:space="0"/>
              <w:right w:val="single" w:color="auto" w:sz="4" w:space="0"/>
            </w:tcBorders>
            <w:vAlign w:val="center"/>
          </w:tcPr>
          <w:p w14:paraId="04B6B264">
            <w:pPr>
              <w:autoSpaceDE w:val="0"/>
              <w:autoSpaceDN w:val="0"/>
              <w:spacing w:line="360" w:lineRule="auto"/>
              <w:contextualSpacing/>
              <w:jc w:val="center"/>
              <w:rPr>
                <w:rFonts w:ascii="仿宋" w:hAnsi="仿宋" w:eastAsia="仿宋" w:cs="仿宋"/>
                <w:b/>
                <w:color w:val="auto"/>
                <w:szCs w:val="21"/>
              </w:rPr>
            </w:pPr>
          </w:p>
        </w:tc>
        <w:tc>
          <w:tcPr>
            <w:tcW w:w="6746" w:type="dxa"/>
            <w:tcBorders>
              <w:top w:val="single" w:color="auto" w:sz="4" w:space="0"/>
              <w:left w:val="single" w:color="auto" w:sz="4" w:space="0"/>
              <w:bottom w:val="single" w:color="auto" w:sz="4" w:space="0"/>
              <w:right w:val="single" w:color="auto" w:sz="4" w:space="0"/>
            </w:tcBorders>
            <w:vAlign w:val="center"/>
          </w:tcPr>
          <w:p w14:paraId="7C18AD92">
            <w:pPr>
              <w:autoSpaceDE w:val="0"/>
              <w:autoSpaceDN w:val="0"/>
              <w:spacing w:line="360" w:lineRule="auto"/>
              <w:contextualSpacing/>
              <w:rPr>
                <w:rFonts w:ascii="仿宋" w:hAnsi="仿宋" w:eastAsia="仿宋" w:cs="仿宋"/>
                <w:color w:val="auto"/>
                <w:szCs w:val="21"/>
              </w:rPr>
            </w:pPr>
            <w:r>
              <w:rPr>
                <w:rFonts w:hint="eastAsia" w:ascii="仿宋" w:hAnsi="仿宋" w:eastAsia="仿宋" w:cs="仿宋"/>
                <w:color w:val="auto"/>
                <w:szCs w:val="21"/>
              </w:rPr>
              <w:t>没有不符合法律、法规和竞争性比选文件中规定的其他实质性要求的</w:t>
            </w:r>
          </w:p>
        </w:tc>
      </w:tr>
    </w:tbl>
    <w:p w14:paraId="0A51428C">
      <w:pPr>
        <w:spacing w:line="360" w:lineRule="auto"/>
        <w:contextualSpacing/>
        <w:rPr>
          <w:rFonts w:ascii="仿宋" w:hAnsi="仿宋" w:eastAsia="仿宋" w:cs="仿宋"/>
          <w:b/>
          <w:color w:val="auto"/>
          <w:szCs w:val="21"/>
        </w:rPr>
      </w:pPr>
    </w:p>
    <w:p w14:paraId="1398B0B1">
      <w:pPr>
        <w:spacing w:line="360" w:lineRule="auto"/>
        <w:contextualSpacing/>
        <w:rPr>
          <w:rFonts w:ascii="仿宋" w:hAnsi="仿宋" w:eastAsia="仿宋" w:cs="仿宋"/>
          <w:b/>
          <w:bCs/>
          <w:color w:val="auto"/>
          <w:szCs w:val="21"/>
        </w:rPr>
      </w:pPr>
      <w:r>
        <w:rPr>
          <w:rFonts w:hint="eastAsia" w:ascii="仿宋" w:hAnsi="仿宋" w:eastAsia="仿宋" w:cs="仿宋"/>
          <w:b/>
          <w:color w:val="auto"/>
          <w:szCs w:val="21"/>
        </w:rPr>
        <w:t>详细评审：</w:t>
      </w:r>
    </w:p>
    <w:tbl>
      <w:tblPr>
        <w:tblStyle w:val="6"/>
        <w:tblW w:w="9413" w:type="dxa"/>
        <w:tblInd w:w="-142" w:type="dxa"/>
        <w:tblLayout w:type="fixed"/>
        <w:tblCellMar>
          <w:top w:w="0" w:type="dxa"/>
          <w:left w:w="0" w:type="dxa"/>
          <w:bottom w:w="0" w:type="dxa"/>
          <w:right w:w="0" w:type="dxa"/>
        </w:tblCellMar>
      </w:tblPr>
      <w:tblGrid>
        <w:gridCol w:w="851"/>
        <w:gridCol w:w="1129"/>
        <w:gridCol w:w="7433"/>
      </w:tblGrid>
      <w:tr w14:paraId="361E6384">
        <w:tblPrEx>
          <w:tblCellMar>
            <w:top w:w="0" w:type="dxa"/>
            <w:left w:w="0" w:type="dxa"/>
            <w:bottom w:w="0" w:type="dxa"/>
            <w:right w:w="0"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4E50C4C2">
            <w:pPr>
              <w:autoSpaceDE w:val="0"/>
              <w:autoSpaceDN w:val="0"/>
              <w:spacing w:line="360" w:lineRule="auto"/>
              <w:contextualSpacing/>
              <w:jc w:val="center"/>
              <w:rPr>
                <w:rFonts w:ascii="仿宋" w:hAnsi="仿宋" w:eastAsia="仿宋" w:cs="仿宋"/>
                <w:b/>
                <w:color w:val="auto"/>
                <w:szCs w:val="21"/>
              </w:rPr>
            </w:pPr>
            <w:r>
              <w:rPr>
                <w:rFonts w:hint="eastAsia" w:ascii="仿宋" w:hAnsi="仿宋" w:eastAsia="仿宋" w:cs="仿宋"/>
                <w:b/>
                <w:color w:val="auto"/>
                <w:szCs w:val="21"/>
              </w:rPr>
              <w:t>条款号</w:t>
            </w:r>
          </w:p>
        </w:tc>
        <w:tc>
          <w:tcPr>
            <w:tcW w:w="1129" w:type="dxa"/>
            <w:tcBorders>
              <w:top w:val="single" w:color="auto" w:sz="4" w:space="0"/>
              <w:left w:val="single" w:color="auto" w:sz="4" w:space="0"/>
              <w:bottom w:val="single" w:color="auto" w:sz="4" w:space="0"/>
              <w:right w:val="single" w:color="auto" w:sz="4" w:space="0"/>
            </w:tcBorders>
            <w:vAlign w:val="center"/>
          </w:tcPr>
          <w:p w14:paraId="35652D47">
            <w:pPr>
              <w:autoSpaceDE w:val="0"/>
              <w:autoSpaceDN w:val="0"/>
              <w:spacing w:line="360" w:lineRule="auto"/>
              <w:contextualSpacing/>
              <w:jc w:val="center"/>
              <w:rPr>
                <w:rFonts w:ascii="仿宋" w:hAnsi="仿宋" w:eastAsia="仿宋" w:cs="仿宋"/>
                <w:b/>
                <w:color w:val="auto"/>
                <w:szCs w:val="21"/>
              </w:rPr>
            </w:pPr>
            <w:r>
              <w:rPr>
                <w:rFonts w:hint="eastAsia" w:ascii="仿宋" w:hAnsi="仿宋" w:eastAsia="仿宋" w:cs="仿宋"/>
                <w:b/>
                <w:color w:val="auto"/>
                <w:szCs w:val="21"/>
              </w:rPr>
              <w:t>条款内容</w:t>
            </w:r>
          </w:p>
        </w:tc>
        <w:tc>
          <w:tcPr>
            <w:tcW w:w="7433" w:type="dxa"/>
            <w:tcBorders>
              <w:top w:val="single" w:color="auto" w:sz="4" w:space="0"/>
              <w:left w:val="single" w:color="auto" w:sz="4" w:space="0"/>
              <w:bottom w:val="single" w:color="auto" w:sz="4" w:space="0"/>
              <w:right w:val="single" w:color="auto" w:sz="4" w:space="0"/>
            </w:tcBorders>
            <w:vAlign w:val="center"/>
          </w:tcPr>
          <w:p w14:paraId="594E9036">
            <w:pPr>
              <w:autoSpaceDE w:val="0"/>
              <w:autoSpaceDN w:val="0"/>
              <w:spacing w:line="360" w:lineRule="auto"/>
              <w:ind w:left="2" w:leftChars="-7" w:hanging="17" w:hangingChars="8"/>
              <w:contextualSpacing/>
              <w:jc w:val="center"/>
              <w:rPr>
                <w:rFonts w:ascii="仿宋" w:hAnsi="仿宋" w:eastAsia="仿宋" w:cs="仿宋"/>
                <w:b/>
                <w:color w:val="auto"/>
                <w:szCs w:val="21"/>
              </w:rPr>
            </w:pPr>
            <w:r>
              <w:rPr>
                <w:rFonts w:hint="eastAsia" w:ascii="仿宋" w:hAnsi="仿宋" w:eastAsia="仿宋" w:cs="仿宋"/>
                <w:b/>
                <w:color w:val="auto"/>
                <w:szCs w:val="21"/>
              </w:rPr>
              <w:t>详细评审编列内容</w:t>
            </w:r>
          </w:p>
        </w:tc>
      </w:tr>
      <w:tr w14:paraId="76D26ABE">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0879FE84">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2.2</w:t>
            </w:r>
          </w:p>
        </w:tc>
        <w:tc>
          <w:tcPr>
            <w:tcW w:w="1129" w:type="dxa"/>
            <w:tcBorders>
              <w:top w:val="single" w:color="auto" w:sz="4" w:space="0"/>
              <w:left w:val="single" w:color="auto" w:sz="4" w:space="0"/>
              <w:bottom w:val="single" w:color="auto" w:sz="4" w:space="0"/>
              <w:right w:val="single" w:color="auto" w:sz="4" w:space="0"/>
            </w:tcBorders>
            <w:vAlign w:val="center"/>
          </w:tcPr>
          <w:p w14:paraId="56485237">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权重构成</w:t>
            </w:r>
          </w:p>
        </w:tc>
        <w:tc>
          <w:tcPr>
            <w:tcW w:w="7433" w:type="dxa"/>
            <w:tcBorders>
              <w:top w:val="single" w:color="auto" w:sz="4" w:space="0"/>
              <w:left w:val="single" w:color="auto" w:sz="4" w:space="0"/>
              <w:bottom w:val="single" w:color="auto" w:sz="4" w:space="0"/>
              <w:right w:val="single" w:color="auto" w:sz="4" w:space="0"/>
            </w:tcBorders>
            <w:vAlign w:val="center"/>
          </w:tcPr>
          <w:p w14:paraId="577F3582">
            <w:pPr>
              <w:autoSpaceDE w:val="0"/>
              <w:autoSpaceDN w:val="0"/>
              <w:spacing w:line="360" w:lineRule="auto"/>
              <w:ind w:left="1574" w:leftChars="-7" w:hanging="1589" w:hangingChars="757"/>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比选报价： A1为0.10；</w:t>
            </w:r>
          </w:p>
          <w:p w14:paraId="112357BF">
            <w:pPr>
              <w:autoSpaceDE w:val="0"/>
              <w:autoSpaceDN w:val="0"/>
              <w:spacing w:line="360" w:lineRule="auto"/>
              <w:ind w:left="1574" w:leftChars="-7" w:hanging="1589" w:hangingChars="757"/>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技术及商务部分： A2为0.90。</w:t>
            </w:r>
          </w:p>
        </w:tc>
      </w:tr>
      <w:tr w14:paraId="20368B94">
        <w:tblPrEx>
          <w:tblCellMar>
            <w:top w:w="0" w:type="dxa"/>
            <w:left w:w="0" w:type="dxa"/>
            <w:bottom w:w="0" w:type="dxa"/>
            <w:right w:w="0"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260934CA">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2.3</w:t>
            </w:r>
          </w:p>
        </w:tc>
        <w:tc>
          <w:tcPr>
            <w:tcW w:w="1129" w:type="dxa"/>
            <w:tcBorders>
              <w:top w:val="single" w:color="auto" w:sz="4" w:space="0"/>
              <w:left w:val="single" w:color="auto" w:sz="4" w:space="0"/>
              <w:bottom w:val="single" w:color="auto" w:sz="4" w:space="0"/>
              <w:right w:val="single" w:color="auto" w:sz="4" w:space="0"/>
            </w:tcBorders>
            <w:vAlign w:val="center"/>
          </w:tcPr>
          <w:p w14:paraId="65519156">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F1比选报价</w:t>
            </w:r>
          </w:p>
        </w:tc>
        <w:tc>
          <w:tcPr>
            <w:tcW w:w="7433" w:type="dxa"/>
            <w:tcBorders>
              <w:top w:val="single" w:color="auto" w:sz="4" w:space="0"/>
              <w:left w:val="single" w:color="auto" w:sz="4" w:space="0"/>
              <w:bottom w:val="single" w:color="auto" w:sz="4" w:space="0"/>
              <w:right w:val="single" w:color="auto" w:sz="4" w:space="0"/>
            </w:tcBorders>
            <w:vAlign w:val="center"/>
          </w:tcPr>
          <w:p w14:paraId="1EA29021">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比选报价得分=</w:t>
            </w:r>
            <w:r>
              <w:rPr>
                <w:rFonts w:hint="eastAsia" w:ascii="仿宋_GB2312" w:hAnsi="仿宋_GB2312" w:eastAsia="仿宋_GB2312" w:cs="仿宋_GB2312"/>
                <w:color w:val="auto"/>
                <w:szCs w:val="21"/>
              </w:rPr>
              <w:t>（比选基准价/比选报价）</w:t>
            </w:r>
            <w:r>
              <w:rPr>
                <w:rFonts w:hint="eastAsia" w:ascii="仿宋_GB2312" w:hAnsi="仿宋_GB2312" w:eastAsia="仿宋_GB2312" w:cs="仿宋_GB2312"/>
                <w:color w:val="auto"/>
                <w:szCs w:val="21"/>
              </w:rPr>
              <w:t>×100</w:t>
            </w:r>
          </w:p>
          <w:p w14:paraId="3AE57360">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比选基准价：满足比选公告文件要求且报价最低的供应商的价格为比选基准价。</w:t>
            </w:r>
          </w:p>
        </w:tc>
      </w:tr>
      <w:tr w14:paraId="1097ED3B">
        <w:tblPrEx>
          <w:tblCellMar>
            <w:top w:w="0" w:type="dxa"/>
            <w:left w:w="0" w:type="dxa"/>
            <w:bottom w:w="0" w:type="dxa"/>
            <w:right w:w="0"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277E84A4">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2.4</w:t>
            </w:r>
          </w:p>
        </w:tc>
        <w:tc>
          <w:tcPr>
            <w:tcW w:w="1129" w:type="dxa"/>
            <w:tcBorders>
              <w:top w:val="single" w:color="auto" w:sz="4" w:space="0"/>
              <w:left w:val="single" w:color="auto" w:sz="4" w:space="0"/>
              <w:bottom w:val="single" w:color="auto" w:sz="4" w:space="0"/>
              <w:right w:val="single" w:color="auto" w:sz="4" w:space="0"/>
            </w:tcBorders>
            <w:vAlign w:val="center"/>
          </w:tcPr>
          <w:p w14:paraId="10AB3E61">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F2技术及商务部分</w:t>
            </w:r>
          </w:p>
        </w:tc>
        <w:tc>
          <w:tcPr>
            <w:tcW w:w="7433" w:type="dxa"/>
            <w:tcBorders>
              <w:top w:val="single" w:color="auto" w:sz="4" w:space="0"/>
              <w:left w:val="single" w:color="auto" w:sz="4" w:space="0"/>
              <w:bottom w:val="single" w:color="auto" w:sz="4" w:space="0"/>
              <w:right w:val="single" w:color="auto" w:sz="4" w:space="0"/>
            </w:tcBorders>
            <w:vAlign w:val="center"/>
          </w:tcPr>
          <w:p w14:paraId="3277DBD1">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工作方案评审：满分40分；</w:t>
            </w:r>
          </w:p>
          <w:p w14:paraId="7A87FE1E">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服务质量承诺评审：满分30分；</w:t>
            </w:r>
          </w:p>
          <w:p w14:paraId="5F275D7D">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服务期限承诺评审：满分20分；</w:t>
            </w:r>
          </w:p>
          <w:p w14:paraId="0276033F">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企业业绩评审：满分10分。</w:t>
            </w:r>
          </w:p>
        </w:tc>
      </w:tr>
    </w:tbl>
    <w:p w14:paraId="2521B3DC">
      <w:pPr>
        <w:pStyle w:val="3"/>
        <w:spacing w:line="360" w:lineRule="auto"/>
        <w:ind w:firstLine="0"/>
        <w:contextualSpacing/>
        <w:rPr>
          <w:rFonts w:ascii="仿宋" w:hAnsi="仿宋" w:eastAsia="仿宋" w:cs="仿宋"/>
          <w:b/>
          <w:bCs/>
          <w:color w:val="auto"/>
          <w:szCs w:val="21"/>
        </w:rPr>
      </w:pPr>
    </w:p>
    <w:p w14:paraId="49F9ACD8">
      <w:pPr>
        <w:pStyle w:val="3"/>
        <w:spacing w:line="360" w:lineRule="auto"/>
        <w:ind w:firstLine="0"/>
        <w:contextualSpacing/>
        <w:rPr>
          <w:rFonts w:ascii="仿宋" w:hAnsi="仿宋" w:eastAsia="仿宋" w:cs="仿宋"/>
          <w:b/>
          <w:color w:val="auto"/>
          <w:szCs w:val="21"/>
        </w:rPr>
      </w:pPr>
      <w:r>
        <w:rPr>
          <w:rFonts w:hint="eastAsia" w:ascii="仿宋" w:hAnsi="仿宋" w:eastAsia="仿宋" w:cs="仿宋"/>
          <w:b/>
          <w:bCs/>
          <w:color w:val="auto"/>
          <w:szCs w:val="21"/>
        </w:rPr>
        <w:t>F2技术及商务</w:t>
      </w:r>
      <w:r>
        <w:rPr>
          <w:rFonts w:hint="eastAsia" w:ascii="仿宋" w:hAnsi="仿宋" w:eastAsia="仿宋" w:cs="仿宋"/>
          <w:b/>
          <w:bCs/>
          <w:color w:val="auto"/>
          <w:szCs w:val="21"/>
        </w:rPr>
        <w:t>部分评审因素</w:t>
      </w:r>
      <w:r>
        <w:rPr>
          <w:rFonts w:hint="eastAsia" w:ascii="仿宋" w:hAnsi="仿宋" w:eastAsia="仿宋" w:cs="仿宋"/>
          <w:color w:val="auto"/>
          <w:szCs w:val="21"/>
        </w:rPr>
        <w:t>：</w:t>
      </w:r>
    </w:p>
    <w:tbl>
      <w:tblPr>
        <w:tblStyle w:val="6"/>
        <w:tblW w:w="9401" w:type="dxa"/>
        <w:tblInd w:w="-142" w:type="dxa"/>
        <w:tblLayout w:type="fixed"/>
        <w:tblCellMar>
          <w:top w:w="0" w:type="dxa"/>
          <w:left w:w="0" w:type="dxa"/>
          <w:bottom w:w="0" w:type="dxa"/>
          <w:right w:w="0" w:type="dxa"/>
        </w:tblCellMar>
      </w:tblPr>
      <w:tblGrid>
        <w:gridCol w:w="641"/>
        <w:gridCol w:w="1061"/>
        <w:gridCol w:w="708"/>
        <w:gridCol w:w="6991"/>
      </w:tblGrid>
      <w:tr w14:paraId="75BBDF3F">
        <w:tblPrEx>
          <w:tblCellMar>
            <w:top w:w="0" w:type="dxa"/>
            <w:left w:w="0" w:type="dxa"/>
            <w:bottom w:w="0" w:type="dxa"/>
            <w:right w:w="0" w:type="dxa"/>
          </w:tblCellMar>
        </w:tblPrEx>
        <w:trPr>
          <w:trHeight w:val="454" w:hRule="atLeast"/>
        </w:trPr>
        <w:tc>
          <w:tcPr>
            <w:tcW w:w="641" w:type="dxa"/>
            <w:tcBorders>
              <w:top w:val="single" w:color="auto" w:sz="4" w:space="0"/>
              <w:left w:val="single" w:color="auto" w:sz="4" w:space="0"/>
              <w:bottom w:val="single" w:color="auto" w:sz="4" w:space="0"/>
              <w:right w:val="single" w:color="auto" w:sz="4" w:space="0"/>
            </w:tcBorders>
          </w:tcPr>
          <w:p w14:paraId="325CCF85">
            <w:pPr>
              <w:autoSpaceDE w:val="0"/>
              <w:autoSpaceDN w:val="0"/>
              <w:spacing w:line="360" w:lineRule="auto"/>
              <w:contextualSpacing/>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序</w:t>
            </w:r>
          </w:p>
          <w:p w14:paraId="019FC1FB">
            <w:pPr>
              <w:autoSpaceDE w:val="0"/>
              <w:autoSpaceDN w:val="0"/>
              <w:spacing w:line="360" w:lineRule="auto"/>
              <w:contextualSpacing/>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号</w:t>
            </w:r>
          </w:p>
        </w:tc>
        <w:tc>
          <w:tcPr>
            <w:tcW w:w="1061" w:type="dxa"/>
            <w:tcBorders>
              <w:top w:val="single" w:color="auto" w:sz="4" w:space="0"/>
              <w:left w:val="single" w:color="auto" w:sz="4" w:space="0"/>
              <w:bottom w:val="single" w:color="auto" w:sz="4" w:space="0"/>
              <w:right w:val="single" w:color="auto" w:sz="4" w:space="0"/>
            </w:tcBorders>
            <w:vAlign w:val="center"/>
          </w:tcPr>
          <w:p w14:paraId="2FF14883">
            <w:pPr>
              <w:autoSpaceDE w:val="0"/>
              <w:autoSpaceDN w:val="0"/>
              <w:spacing w:line="360" w:lineRule="auto"/>
              <w:contextualSpacing/>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708" w:type="dxa"/>
            <w:tcBorders>
              <w:top w:val="single" w:color="auto" w:sz="4" w:space="0"/>
              <w:left w:val="single" w:color="auto" w:sz="4" w:space="0"/>
              <w:bottom w:val="single" w:color="auto" w:sz="4" w:space="0"/>
              <w:right w:val="single" w:color="auto" w:sz="4" w:space="0"/>
            </w:tcBorders>
            <w:vAlign w:val="center"/>
          </w:tcPr>
          <w:p w14:paraId="67030F55">
            <w:pPr>
              <w:autoSpaceDE w:val="0"/>
              <w:autoSpaceDN w:val="0"/>
              <w:spacing w:line="360" w:lineRule="auto"/>
              <w:contextualSpacing/>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评审因素分值</w:t>
            </w:r>
          </w:p>
        </w:tc>
        <w:tc>
          <w:tcPr>
            <w:tcW w:w="6991" w:type="dxa"/>
            <w:tcBorders>
              <w:top w:val="single" w:color="auto" w:sz="4" w:space="0"/>
              <w:left w:val="single" w:color="auto" w:sz="4" w:space="0"/>
              <w:bottom w:val="single" w:color="auto" w:sz="4" w:space="0"/>
              <w:right w:val="single" w:color="auto" w:sz="4" w:space="0"/>
            </w:tcBorders>
            <w:vAlign w:val="center"/>
          </w:tcPr>
          <w:p w14:paraId="7DD39C42">
            <w:pPr>
              <w:autoSpaceDE w:val="0"/>
              <w:autoSpaceDN w:val="0"/>
              <w:spacing w:line="360" w:lineRule="auto"/>
              <w:ind w:left="2" w:leftChars="-7" w:hanging="17" w:hangingChars="8"/>
              <w:contextualSpacing/>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评审标准</w:t>
            </w:r>
          </w:p>
        </w:tc>
      </w:tr>
      <w:tr w14:paraId="64173C1C">
        <w:tblPrEx>
          <w:tblCellMar>
            <w:top w:w="0" w:type="dxa"/>
            <w:left w:w="0" w:type="dxa"/>
            <w:bottom w:w="0" w:type="dxa"/>
            <w:right w:w="0" w:type="dxa"/>
          </w:tblCellMar>
        </w:tblPrEx>
        <w:trPr>
          <w:trHeight w:val="454" w:hRule="atLeast"/>
        </w:trPr>
        <w:tc>
          <w:tcPr>
            <w:tcW w:w="641" w:type="dxa"/>
            <w:vMerge w:val="restart"/>
            <w:tcBorders>
              <w:top w:val="single" w:color="auto" w:sz="4" w:space="0"/>
              <w:left w:val="single" w:color="auto" w:sz="4" w:space="0"/>
              <w:right w:val="single" w:color="auto" w:sz="4" w:space="0"/>
            </w:tcBorders>
          </w:tcPr>
          <w:p w14:paraId="47987CD6">
            <w:pPr>
              <w:autoSpaceDE w:val="0"/>
              <w:autoSpaceDN w:val="0"/>
              <w:spacing w:line="360" w:lineRule="auto"/>
              <w:contextualSpacing/>
              <w:jc w:val="center"/>
              <w:rPr>
                <w:rFonts w:ascii="仿宋_GB2312" w:hAnsi="仿宋_GB2312" w:eastAsia="仿宋_GB2312" w:cs="仿宋_GB2312"/>
                <w:color w:val="auto"/>
                <w:szCs w:val="21"/>
              </w:rPr>
            </w:pPr>
          </w:p>
          <w:p w14:paraId="58797F92">
            <w:pPr>
              <w:autoSpaceDE w:val="0"/>
              <w:autoSpaceDN w:val="0"/>
              <w:spacing w:line="360" w:lineRule="auto"/>
              <w:ind w:firstLine="210" w:firstLineChars="100"/>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A</w:t>
            </w:r>
          </w:p>
        </w:tc>
        <w:tc>
          <w:tcPr>
            <w:tcW w:w="1061" w:type="dxa"/>
            <w:vMerge w:val="restart"/>
            <w:tcBorders>
              <w:top w:val="single" w:color="auto" w:sz="4" w:space="0"/>
              <w:left w:val="single" w:color="auto" w:sz="4" w:space="0"/>
              <w:right w:val="single" w:color="auto" w:sz="4" w:space="0"/>
            </w:tcBorders>
            <w:vAlign w:val="center"/>
          </w:tcPr>
          <w:p w14:paraId="7F3005B8">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bCs/>
                <w:color w:val="auto"/>
                <w:szCs w:val="21"/>
              </w:rPr>
              <w:t>工作服务方案</w:t>
            </w:r>
          </w:p>
        </w:tc>
        <w:tc>
          <w:tcPr>
            <w:tcW w:w="708" w:type="dxa"/>
            <w:vMerge w:val="restart"/>
            <w:tcBorders>
              <w:top w:val="single" w:color="auto" w:sz="4" w:space="0"/>
              <w:left w:val="single" w:color="auto" w:sz="4" w:space="0"/>
              <w:right w:val="single" w:color="auto" w:sz="4" w:space="0"/>
            </w:tcBorders>
            <w:vAlign w:val="center"/>
          </w:tcPr>
          <w:p w14:paraId="73290792">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40</w:t>
            </w:r>
          </w:p>
        </w:tc>
        <w:tc>
          <w:tcPr>
            <w:tcW w:w="6991" w:type="dxa"/>
            <w:tcBorders>
              <w:top w:val="single" w:color="auto" w:sz="4" w:space="0"/>
              <w:left w:val="single" w:color="auto" w:sz="4" w:space="0"/>
              <w:bottom w:val="single" w:color="auto" w:sz="4" w:space="0"/>
              <w:right w:val="single" w:color="auto" w:sz="4" w:space="0"/>
            </w:tcBorders>
            <w:vAlign w:val="center"/>
          </w:tcPr>
          <w:p w14:paraId="4614E8A1">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（1）方案阐述完整性、合理性较好，针对性较强赋分32-40分。</w:t>
            </w:r>
          </w:p>
        </w:tc>
      </w:tr>
      <w:tr w14:paraId="0B7220F5">
        <w:tblPrEx>
          <w:tblCellMar>
            <w:top w:w="0" w:type="dxa"/>
            <w:left w:w="0" w:type="dxa"/>
            <w:bottom w:w="0" w:type="dxa"/>
            <w:right w:w="0" w:type="dxa"/>
          </w:tblCellMar>
        </w:tblPrEx>
        <w:trPr>
          <w:trHeight w:val="454" w:hRule="atLeast"/>
        </w:trPr>
        <w:tc>
          <w:tcPr>
            <w:tcW w:w="641" w:type="dxa"/>
            <w:vMerge w:val="continue"/>
            <w:tcBorders>
              <w:left w:val="single" w:color="auto" w:sz="4" w:space="0"/>
              <w:right w:val="single" w:color="auto" w:sz="4" w:space="0"/>
            </w:tcBorders>
          </w:tcPr>
          <w:p w14:paraId="6BD13696">
            <w:pPr>
              <w:autoSpaceDE w:val="0"/>
              <w:autoSpaceDN w:val="0"/>
              <w:spacing w:line="360" w:lineRule="auto"/>
              <w:contextualSpacing/>
              <w:jc w:val="center"/>
              <w:rPr>
                <w:rFonts w:ascii="仿宋_GB2312" w:hAnsi="仿宋_GB2312" w:eastAsia="仿宋_GB2312" w:cs="仿宋_GB2312"/>
                <w:color w:val="auto"/>
                <w:szCs w:val="21"/>
              </w:rPr>
            </w:pPr>
          </w:p>
        </w:tc>
        <w:tc>
          <w:tcPr>
            <w:tcW w:w="1061" w:type="dxa"/>
            <w:vMerge w:val="continue"/>
            <w:tcBorders>
              <w:top w:val="single" w:color="auto" w:sz="4" w:space="0"/>
              <w:left w:val="single" w:color="auto" w:sz="4" w:space="0"/>
              <w:right w:val="single" w:color="auto" w:sz="4" w:space="0"/>
            </w:tcBorders>
            <w:vAlign w:val="center"/>
          </w:tcPr>
          <w:p w14:paraId="4A160E7A">
            <w:pPr>
              <w:autoSpaceDE w:val="0"/>
              <w:autoSpaceDN w:val="0"/>
              <w:spacing w:line="360" w:lineRule="auto"/>
              <w:contextualSpacing/>
              <w:jc w:val="center"/>
              <w:rPr>
                <w:rFonts w:ascii="仿宋_GB2312" w:hAnsi="仿宋_GB2312" w:eastAsia="仿宋_GB2312" w:cs="仿宋_GB2312"/>
                <w:color w:val="auto"/>
                <w:szCs w:val="21"/>
              </w:rPr>
            </w:pPr>
          </w:p>
        </w:tc>
        <w:tc>
          <w:tcPr>
            <w:tcW w:w="708" w:type="dxa"/>
            <w:vMerge w:val="continue"/>
            <w:tcBorders>
              <w:top w:val="single" w:color="auto" w:sz="4" w:space="0"/>
              <w:left w:val="single" w:color="auto" w:sz="4" w:space="0"/>
              <w:right w:val="single" w:color="auto" w:sz="4" w:space="0"/>
            </w:tcBorders>
            <w:vAlign w:val="center"/>
          </w:tcPr>
          <w:p w14:paraId="5FAC0C32">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p>
        </w:tc>
        <w:tc>
          <w:tcPr>
            <w:tcW w:w="6991" w:type="dxa"/>
            <w:tcBorders>
              <w:top w:val="single" w:color="auto" w:sz="4" w:space="0"/>
              <w:left w:val="single" w:color="auto" w:sz="4" w:space="0"/>
              <w:bottom w:val="single" w:color="auto" w:sz="4" w:space="0"/>
              <w:right w:val="single" w:color="auto" w:sz="4" w:space="0"/>
            </w:tcBorders>
            <w:vAlign w:val="center"/>
          </w:tcPr>
          <w:p w14:paraId="094F9F36">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（2）方案阐述完整性、合理性一般，针对性一般赋分24-31分。</w:t>
            </w:r>
          </w:p>
        </w:tc>
      </w:tr>
      <w:tr w14:paraId="44C6EE44">
        <w:tblPrEx>
          <w:tblCellMar>
            <w:top w:w="0" w:type="dxa"/>
            <w:left w:w="0" w:type="dxa"/>
            <w:bottom w:w="0" w:type="dxa"/>
            <w:right w:w="0" w:type="dxa"/>
          </w:tblCellMar>
        </w:tblPrEx>
        <w:trPr>
          <w:trHeight w:val="744" w:hRule="atLeast"/>
        </w:trPr>
        <w:tc>
          <w:tcPr>
            <w:tcW w:w="641" w:type="dxa"/>
            <w:vMerge w:val="continue"/>
            <w:tcBorders>
              <w:left w:val="single" w:color="auto" w:sz="4" w:space="0"/>
              <w:right w:val="single" w:color="auto" w:sz="4" w:space="0"/>
            </w:tcBorders>
          </w:tcPr>
          <w:p w14:paraId="17B5A1D1">
            <w:pPr>
              <w:autoSpaceDE w:val="0"/>
              <w:autoSpaceDN w:val="0"/>
              <w:spacing w:line="360" w:lineRule="auto"/>
              <w:contextualSpacing/>
              <w:jc w:val="center"/>
              <w:rPr>
                <w:rFonts w:ascii="仿宋_GB2312" w:hAnsi="仿宋_GB2312" w:eastAsia="仿宋_GB2312" w:cs="仿宋_GB2312"/>
                <w:color w:val="auto"/>
                <w:szCs w:val="21"/>
              </w:rPr>
            </w:pPr>
          </w:p>
        </w:tc>
        <w:tc>
          <w:tcPr>
            <w:tcW w:w="1061" w:type="dxa"/>
            <w:vMerge w:val="continue"/>
            <w:tcBorders>
              <w:top w:val="single" w:color="auto" w:sz="4" w:space="0"/>
              <w:left w:val="single" w:color="auto" w:sz="4" w:space="0"/>
              <w:right w:val="single" w:color="auto" w:sz="4" w:space="0"/>
            </w:tcBorders>
            <w:vAlign w:val="center"/>
          </w:tcPr>
          <w:p w14:paraId="0CC1F75F">
            <w:pPr>
              <w:autoSpaceDE w:val="0"/>
              <w:autoSpaceDN w:val="0"/>
              <w:spacing w:line="360" w:lineRule="auto"/>
              <w:contextualSpacing/>
              <w:jc w:val="center"/>
              <w:rPr>
                <w:rFonts w:ascii="仿宋_GB2312" w:hAnsi="仿宋_GB2312" w:eastAsia="仿宋_GB2312" w:cs="仿宋_GB2312"/>
                <w:color w:val="auto"/>
                <w:szCs w:val="21"/>
              </w:rPr>
            </w:pPr>
          </w:p>
        </w:tc>
        <w:tc>
          <w:tcPr>
            <w:tcW w:w="708" w:type="dxa"/>
            <w:vMerge w:val="continue"/>
            <w:tcBorders>
              <w:top w:val="single" w:color="auto" w:sz="4" w:space="0"/>
              <w:left w:val="single" w:color="auto" w:sz="4" w:space="0"/>
              <w:right w:val="single" w:color="auto" w:sz="4" w:space="0"/>
            </w:tcBorders>
            <w:vAlign w:val="center"/>
          </w:tcPr>
          <w:p w14:paraId="07E90177">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p>
        </w:tc>
        <w:tc>
          <w:tcPr>
            <w:tcW w:w="6991" w:type="dxa"/>
            <w:tcBorders>
              <w:top w:val="single" w:color="auto" w:sz="4" w:space="0"/>
              <w:left w:val="single" w:color="auto" w:sz="4" w:space="0"/>
              <w:bottom w:val="single" w:color="auto" w:sz="4" w:space="0"/>
              <w:right w:val="single" w:color="auto" w:sz="4" w:space="0"/>
            </w:tcBorders>
            <w:vAlign w:val="center"/>
          </w:tcPr>
          <w:p w14:paraId="6FE0C6AF">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（3）方案阐述完整性、合理性较差，针对性较差赋分 0-23分。</w:t>
            </w:r>
          </w:p>
        </w:tc>
      </w:tr>
      <w:tr w14:paraId="56B5BCDF">
        <w:tblPrEx>
          <w:tblCellMar>
            <w:top w:w="0" w:type="dxa"/>
            <w:left w:w="0" w:type="dxa"/>
            <w:bottom w:w="0" w:type="dxa"/>
            <w:right w:w="0" w:type="dxa"/>
          </w:tblCellMar>
        </w:tblPrEx>
        <w:trPr>
          <w:trHeight w:val="626" w:hRule="atLeast"/>
        </w:trPr>
        <w:tc>
          <w:tcPr>
            <w:tcW w:w="641" w:type="dxa"/>
            <w:vMerge w:val="restart"/>
            <w:tcBorders>
              <w:top w:val="single" w:color="auto" w:sz="4" w:space="0"/>
              <w:left w:val="single" w:color="auto" w:sz="4" w:space="0"/>
              <w:right w:val="single" w:color="auto" w:sz="4" w:space="0"/>
            </w:tcBorders>
          </w:tcPr>
          <w:p w14:paraId="4F27B923">
            <w:pPr>
              <w:autoSpaceDE w:val="0"/>
              <w:autoSpaceDN w:val="0"/>
              <w:spacing w:line="360" w:lineRule="auto"/>
              <w:contextualSpacing/>
              <w:jc w:val="center"/>
              <w:rPr>
                <w:rFonts w:ascii="仿宋_GB2312" w:hAnsi="仿宋_GB2312" w:eastAsia="仿宋_GB2312" w:cs="仿宋_GB2312"/>
                <w:color w:val="auto"/>
                <w:szCs w:val="21"/>
              </w:rPr>
            </w:pPr>
          </w:p>
          <w:p w14:paraId="7BB99865">
            <w:pPr>
              <w:autoSpaceDE w:val="0"/>
              <w:autoSpaceDN w:val="0"/>
              <w:spacing w:line="360" w:lineRule="auto"/>
              <w:contextualSpacing/>
              <w:jc w:val="center"/>
              <w:rPr>
                <w:rFonts w:ascii="仿宋_GB2312" w:hAnsi="仿宋_GB2312" w:eastAsia="仿宋_GB2312" w:cs="仿宋_GB2312"/>
                <w:color w:val="auto"/>
                <w:szCs w:val="21"/>
              </w:rPr>
            </w:pPr>
          </w:p>
          <w:p w14:paraId="1882F5BA">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B</w:t>
            </w:r>
          </w:p>
        </w:tc>
        <w:tc>
          <w:tcPr>
            <w:tcW w:w="1061" w:type="dxa"/>
            <w:vMerge w:val="restart"/>
            <w:tcBorders>
              <w:top w:val="single" w:color="auto" w:sz="4" w:space="0"/>
              <w:left w:val="single" w:color="auto" w:sz="4" w:space="0"/>
              <w:right w:val="single" w:color="auto" w:sz="4" w:space="0"/>
            </w:tcBorders>
            <w:vAlign w:val="center"/>
          </w:tcPr>
          <w:p w14:paraId="581D5CFF">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服务质量承诺评审</w:t>
            </w:r>
          </w:p>
        </w:tc>
        <w:tc>
          <w:tcPr>
            <w:tcW w:w="708" w:type="dxa"/>
            <w:vMerge w:val="restart"/>
            <w:tcBorders>
              <w:top w:val="single" w:color="auto" w:sz="4" w:space="0"/>
              <w:left w:val="single" w:color="auto" w:sz="4" w:space="0"/>
              <w:right w:val="single" w:color="auto" w:sz="4" w:space="0"/>
            </w:tcBorders>
            <w:vAlign w:val="center"/>
          </w:tcPr>
          <w:p w14:paraId="41721A5F">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30</w:t>
            </w:r>
          </w:p>
        </w:tc>
        <w:tc>
          <w:tcPr>
            <w:tcW w:w="6991" w:type="dxa"/>
            <w:tcBorders>
              <w:top w:val="single" w:color="auto" w:sz="4" w:space="0"/>
              <w:left w:val="single" w:color="auto" w:sz="4" w:space="0"/>
              <w:bottom w:val="single" w:color="auto" w:sz="4" w:space="0"/>
              <w:right w:val="single" w:color="auto" w:sz="4" w:space="0"/>
            </w:tcBorders>
            <w:vAlign w:val="center"/>
          </w:tcPr>
          <w:p w14:paraId="635819BA">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服务质量承诺内容具体，切实可行，并附有具体违约承诺，针对性较强赋分24-30分。</w:t>
            </w:r>
          </w:p>
        </w:tc>
      </w:tr>
      <w:tr w14:paraId="178EF7AC">
        <w:tblPrEx>
          <w:tblCellMar>
            <w:top w:w="0" w:type="dxa"/>
            <w:left w:w="0" w:type="dxa"/>
            <w:bottom w:w="0" w:type="dxa"/>
            <w:right w:w="0" w:type="dxa"/>
          </w:tblCellMar>
        </w:tblPrEx>
        <w:trPr>
          <w:trHeight w:val="647" w:hRule="atLeast"/>
        </w:trPr>
        <w:tc>
          <w:tcPr>
            <w:tcW w:w="641" w:type="dxa"/>
            <w:vMerge w:val="continue"/>
            <w:tcBorders>
              <w:left w:val="single" w:color="auto" w:sz="4" w:space="0"/>
              <w:right w:val="single" w:color="auto" w:sz="4" w:space="0"/>
            </w:tcBorders>
          </w:tcPr>
          <w:p w14:paraId="5E8546BC">
            <w:pPr>
              <w:autoSpaceDE w:val="0"/>
              <w:autoSpaceDN w:val="0"/>
              <w:spacing w:line="360" w:lineRule="auto"/>
              <w:contextualSpacing/>
              <w:jc w:val="center"/>
              <w:rPr>
                <w:rFonts w:ascii="仿宋_GB2312" w:hAnsi="仿宋_GB2312" w:eastAsia="仿宋_GB2312" w:cs="仿宋_GB2312"/>
                <w:color w:val="auto"/>
                <w:szCs w:val="21"/>
              </w:rPr>
            </w:pPr>
          </w:p>
        </w:tc>
        <w:tc>
          <w:tcPr>
            <w:tcW w:w="1061" w:type="dxa"/>
            <w:vMerge w:val="continue"/>
            <w:tcBorders>
              <w:left w:val="single" w:color="auto" w:sz="4" w:space="0"/>
              <w:right w:val="single" w:color="auto" w:sz="4" w:space="0"/>
            </w:tcBorders>
            <w:vAlign w:val="center"/>
          </w:tcPr>
          <w:p w14:paraId="0FB49EC2">
            <w:pPr>
              <w:autoSpaceDE w:val="0"/>
              <w:autoSpaceDN w:val="0"/>
              <w:spacing w:line="360" w:lineRule="auto"/>
              <w:contextualSpacing/>
              <w:jc w:val="center"/>
              <w:rPr>
                <w:rFonts w:ascii="仿宋_GB2312" w:hAnsi="仿宋_GB2312" w:eastAsia="仿宋_GB2312" w:cs="仿宋_GB2312"/>
                <w:color w:val="auto"/>
                <w:szCs w:val="21"/>
              </w:rPr>
            </w:pPr>
          </w:p>
        </w:tc>
        <w:tc>
          <w:tcPr>
            <w:tcW w:w="708" w:type="dxa"/>
            <w:vMerge w:val="continue"/>
            <w:tcBorders>
              <w:left w:val="single" w:color="auto" w:sz="4" w:space="0"/>
              <w:right w:val="single" w:color="auto" w:sz="4" w:space="0"/>
            </w:tcBorders>
            <w:vAlign w:val="center"/>
          </w:tcPr>
          <w:p w14:paraId="39317792">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p>
        </w:tc>
        <w:tc>
          <w:tcPr>
            <w:tcW w:w="6991" w:type="dxa"/>
            <w:tcBorders>
              <w:top w:val="single" w:color="auto" w:sz="4" w:space="0"/>
              <w:left w:val="single" w:color="auto" w:sz="4" w:space="0"/>
              <w:bottom w:val="single" w:color="auto" w:sz="4" w:space="0"/>
              <w:right w:val="single" w:color="auto" w:sz="4" w:space="0"/>
            </w:tcBorders>
            <w:vAlign w:val="center"/>
          </w:tcPr>
          <w:p w14:paraId="413FC11F">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服务质量承诺内容较为完善，但可行性不足，无具体违约承诺，针对性一般赋分18-23分。</w:t>
            </w:r>
          </w:p>
        </w:tc>
      </w:tr>
      <w:tr w14:paraId="04247452">
        <w:tblPrEx>
          <w:tblCellMar>
            <w:top w:w="0" w:type="dxa"/>
            <w:left w:w="0" w:type="dxa"/>
            <w:bottom w:w="0" w:type="dxa"/>
            <w:right w:w="0" w:type="dxa"/>
          </w:tblCellMar>
        </w:tblPrEx>
        <w:trPr>
          <w:trHeight w:val="647" w:hRule="atLeast"/>
        </w:trPr>
        <w:tc>
          <w:tcPr>
            <w:tcW w:w="641" w:type="dxa"/>
            <w:vMerge w:val="continue"/>
            <w:tcBorders>
              <w:left w:val="single" w:color="auto" w:sz="4" w:space="0"/>
              <w:bottom w:val="single" w:color="auto" w:sz="4" w:space="0"/>
              <w:right w:val="single" w:color="auto" w:sz="4" w:space="0"/>
            </w:tcBorders>
          </w:tcPr>
          <w:p w14:paraId="6D9E6887">
            <w:pPr>
              <w:autoSpaceDE w:val="0"/>
              <w:autoSpaceDN w:val="0"/>
              <w:spacing w:line="360" w:lineRule="auto"/>
              <w:contextualSpacing/>
              <w:jc w:val="center"/>
              <w:rPr>
                <w:rFonts w:ascii="仿宋_GB2312" w:hAnsi="仿宋_GB2312" w:eastAsia="仿宋_GB2312" w:cs="仿宋_GB2312"/>
                <w:color w:val="auto"/>
                <w:szCs w:val="21"/>
              </w:rPr>
            </w:pPr>
          </w:p>
        </w:tc>
        <w:tc>
          <w:tcPr>
            <w:tcW w:w="1061" w:type="dxa"/>
            <w:vMerge w:val="continue"/>
            <w:tcBorders>
              <w:left w:val="single" w:color="auto" w:sz="4" w:space="0"/>
              <w:bottom w:val="single" w:color="auto" w:sz="4" w:space="0"/>
              <w:right w:val="single" w:color="auto" w:sz="4" w:space="0"/>
            </w:tcBorders>
            <w:vAlign w:val="center"/>
          </w:tcPr>
          <w:p w14:paraId="755001AE">
            <w:pPr>
              <w:autoSpaceDE w:val="0"/>
              <w:autoSpaceDN w:val="0"/>
              <w:spacing w:line="360" w:lineRule="auto"/>
              <w:contextualSpacing/>
              <w:jc w:val="center"/>
              <w:rPr>
                <w:rFonts w:ascii="仿宋_GB2312" w:hAnsi="仿宋_GB2312" w:eastAsia="仿宋_GB2312" w:cs="仿宋_GB2312"/>
                <w:color w:val="auto"/>
                <w:szCs w:val="21"/>
              </w:rPr>
            </w:pPr>
          </w:p>
        </w:tc>
        <w:tc>
          <w:tcPr>
            <w:tcW w:w="708" w:type="dxa"/>
            <w:vMerge w:val="continue"/>
            <w:tcBorders>
              <w:left w:val="single" w:color="auto" w:sz="4" w:space="0"/>
              <w:bottom w:val="single" w:color="auto" w:sz="4" w:space="0"/>
              <w:right w:val="single" w:color="auto" w:sz="4" w:space="0"/>
            </w:tcBorders>
            <w:vAlign w:val="center"/>
          </w:tcPr>
          <w:p w14:paraId="501E9E75">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p>
        </w:tc>
        <w:tc>
          <w:tcPr>
            <w:tcW w:w="6991" w:type="dxa"/>
            <w:tcBorders>
              <w:top w:val="single" w:color="auto" w:sz="4" w:space="0"/>
              <w:left w:val="single" w:color="auto" w:sz="4" w:space="0"/>
              <w:bottom w:val="single" w:color="auto" w:sz="4" w:space="0"/>
              <w:right w:val="single" w:color="auto" w:sz="4" w:space="0"/>
            </w:tcBorders>
            <w:vAlign w:val="center"/>
          </w:tcPr>
          <w:p w14:paraId="5EDFE4E0">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无具体的服务质量承诺，且无具体违约承诺，针对性较差赋分0-17分。</w:t>
            </w:r>
          </w:p>
        </w:tc>
      </w:tr>
      <w:tr w14:paraId="37298326">
        <w:tblPrEx>
          <w:tblCellMar>
            <w:top w:w="0" w:type="dxa"/>
            <w:left w:w="0" w:type="dxa"/>
            <w:bottom w:w="0" w:type="dxa"/>
            <w:right w:w="0" w:type="dxa"/>
          </w:tblCellMar>
        </w:tblPrEx>
        <w:trPr>
          <w:trHeight w:val="647" w:hRule="atLeast"/>
        </w:trPr>
        <w:tc>
          <w:tcPr>
            <w:tcW w:w="641" w:type="dxa"/>
            <w:vMerge w:val="restart"/>
            <w:tcBorders>
              <w:left w:val="single" w:color="auto" w:sz="4" w:space="0"/>
              <w:right w:val="single" w:color="auto" w:sz="4" w:space="0"/>
            </w:tcBorders>
          </w:tcPr>
          <w:p w14:paraId="3277714D">
            <w:pPr>
              <w:autoSpaceDE w:val="0"/>
              <w:autoSpaceDN w:val="0"/>
              <w:spacing w:line="360" w:lineRule="auto"/>
              <w:contextualSpacing/>
              <w:jc w:val="center"/>
              <w:rPr>
                <w:rFonts w:ascii="仿宋_GB2312" w:hAnsi="仿宋_GB2312" w:eastAsia="仿宋_GB2312" w:cs="仿宋_GB2312"/>
                <w:color w:val="auto"/>
                <w:szCs w:val="21"/>
              </w:rPr>
            </w:pPr>
          </w:p>
          <w:p w14:paraId="61DBAF8A">
            <w:pPr>
              <w:pStyle w:val="2"/>
              <w:rPr>
                <w:color w:val="auto"/>
              </w:rPr>
            </w:pPr>
          </w:p>
          <w:p w14:paraId="61B5BA63">
            <w:pPr>
              <w:rPr>
                <w:color w:val="auto"/>
              </w:rPr>
            </w:pPr>
            <w:r>
              <w:rPr>
                <w:rFonts w:hint="eastAsia"/>
                <w:color w:val="auto"/>
              </w:rPr>
              <w:t xml:space="preserve">   C</w:t>
            </w:r>
          </w:p>
        </w:tc>
        <w:tc>
          <w:tcPr>
            <w:tcW w:w="1061" w:type="dxa"/>
            <w:vMerge w:val="restart"/>
            <w:tcBorders>
              <w:left w:val="single" w:color="auto" w:sz="4" w:space="0"/>
              <w:right w:val="single" w:color="auto" w:sz="4" w:space="0"/>
            </w:tcBorders>
            <w:vAlign w:val="center"/>
          </w:tcPr>
          <w:p w14:paraId="04EF5604">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服务期限承诺评审</w:t>
            </w:r>
          </w:p>
        </w:tc>
        <w:tc>
          <w:tcPr>
            <w:tcW w:w="708" w:type="dxa"/>
            <w:vMerge w:val="restart"/>
            <w:tcBorders>
              <w:left w:val="single" w:color="auto" w:sz="4" w:space="0"/>
              <w:right w:val="single" w:color="auto" w:sz="4" w:space="0"/>
            </w:tcBorders>
            <w:vAlign w:val="center"/>
          </w:tcPr>
          <w:p w14:paraId="28A18889">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w:t>
            </w:r>
          </w:p>
        </w:tc>
        <w:tc>
          <w:tcPr>
            <w:tcW w:w="6991" w:type="dxa"/>
            <w:tcBorders>
              <w:top w:val="single" w:color="auto" w:sz="4" w:space="0"/>
              <w:left w:val="single" w:color="auto" w:sz="4" w:space="0"/>
              <w:bottom w:val="single" w:color="auto" w:sz="4" w:space="0"/>
              <w:right w:val="single" w:color="auto" w:sz="4" w:space="0"/>
            </w:tcBorders>
            <w:vAlign w:val="center"/>
          </w:tcPr>
          <w:p w14:paraId="385BDD0C">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服务期限承诺内容具体，切实可行，并附有具体违约承诺，针对性较强赋分16-20分。</w:t>
            </w:r>
          </w:p>
        </w:tc>
      </w:tr>
      <w:tr w14:paraId="1C791715">
        <w:tblPrEx>
          <w:tblCellMar>
            <w:top w:w="0" w:type="dxa"/>
            <w:left w:w="0" w:type="dxa"/>
            <w:bottom w:w="0" w:type="dxa"/>
            <w:right w:w="0" w:type="dxa"/>
          </w:tblCellMar>
        </w:tblPrEx>
        <w:trPr>
          <w:trHeight w:val="647" w:hRule="atLeast"/>
        </w:trPr>
        <w:tc>
          <w:tcPr>
            <w:tcW w:w="641" w:type="dxa"/>
            <w:vMerge w:val="continue"/>
            <w:tcBorders>
              <w:left w:val="single" w:color="auto" w:sz="4" w:space="0"/>
              <w:right w:val="single" w:color="auto" w:sz="4" w:space="0"/>
            </w:tcBorders>
          </w:tcPr>
          <w:p w14:paraId="111CB32F">
            <w:pPr>
              <w:autoSpaceDE w:val="0"/>
              <w:autoSpaceDN w:val="0"/>
              <w:spacing w:line="360" w:lineRule="auto"/>
              <w:contextualSpacing/>
              <w:jc w:val="center"/>
              <w:rPr>
                <w:rFonts w:ascii="仿宋_GB2312" w:hAnsi="仿宋_GB2312" w:eastAsia="仿宋_GB2312" w:cs="仿宋_GB2312"/>
                <w:color w:val="auto"/>
                <w:szCs w:val="21"/>
              </w:rPr>
            </w:pPr>
          </w:p>
        </w:tc>
        <w:tc>
          <w:tcPr>
            <w:tcW w:w="1061" w:type="dxa"/>
            <w:vMerge w:val="continue"/>
            <w:tcBorders>
              <w:left w:val="single" w:color="auto" w:sz="4" w:space="0"/>
              <w:right w:val="single" w:color="auto" w:sz="4" w:space="0"/>
            </w:tcBorders>
            <w:vAlign w:val="center"/>
          </w:tcPr>
          <w:p w14:paraId="2D91E293">
            <w:pPr>
              <w:autoSpaceDE w:val="0"/>
              <w:autoSpaceDN w:val="0"/>
              <w:spacing w:line="360" w:lineRule="auto"/>
              <w:contextualSpacing/>
              <w:jc w:val="center"/>
              <w:rPr>
                <w:rFonts w:ascii="仿宋_GB2312" w:hAnsi="仿宋_GB2312" w:eastAsia="仿宋_GB2312" w:cs="仿宋_GB2312"/>
                <w:color w:val="auto"/>
                <w:szCs w:val="21"/>
              </w:rPr>
            </w:pPr>
          </w:p>
        </w:tc>
        <w:tc>
          <w:tcPr>
            <w:tcW w:w="708" w:type="dxa"/>
            <w:vMerge w:val="continue"/>
            <w:tcBorders>
              <w:left w:val="single" w:color="auto" w:sz="4" w:space="0"/>
              <w:right w:val="single" w:color="auto" w:sz="4" w:space="0"/>
            </w:tcBorders>
            <w:vAlign w:val="center"/>
          </w:tcPr>
          <w:p w14:paraId="6CB26A47">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p>
        </w:tc>
        <w:tc>
          <w:tcPr>
            <w:tcW w:w="6991" w:type="dxa"/>
            <w:tcBorders>
              <w:top w:val="single" w:color="auto" w:sz="4" w:space="0"/>
              <w:left w:val="single" w:color="auto" w:sz="4" w:space="0"/>
              <w:bottom w:val="single" w:color="auto" w:sz="4" w:space="0"/>
              <w:right w:val="single" w:color="auto" w:sz="4" w:space="0"/>
            </w:tcBorders>
            <w:vAlign w:val="center"/>
          </w:tcPr>
          <w:p w14:paraId="09E00D11">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服务期限承诺内容较为完善，但可行性不足，无具体违约承诺，针对性一般赋分12-15分。</w:t>
            </w:r>
          </w:p>
        </w:tc>
      </w:tr>
      <w:tr w14:paraId="1670309A">
        <w:tblPrEx>
          <w:tblCellMar>
            <w:top w:w="0" w:type="dxa"/>
            <w:left w:w="0" w:type="dxa"/>
            <w:bottom w:w="0" w:type="dxa"/>
            <w:right w:w="0" w:type="dxa"/>
          </w:tblCellMar>
        </w:tblPrEx>
        <w:trPr>
          <w:trHeight w:val="647" w:hRule="atLeast"/>
        </w:trPr>
        <w:tc>
          <w:tcPr>
            <w:tcW w:w="641" w:type="dxa"/>
            <w:vMerge w:val="continue"/>
            <w:tcBorders>
              <w:left w:val="single" w:color="auto" w:sz="4" w:space="0"/>
              <w:bottom w:val="single" w:color="auto" w:sz="4" w:space="0"/>
              <w:right w:val="single" w:color="auto" w:sz="4" w:space="0"/>
            </w:tcBorders>
          </w:tcPr>
          <w:p w14:paraId="6528426C">
            <w:pPr>
              <w:autoSpaceDE w:val="0"/>
              <w:autoSpaceDN w:val="0"/>
              <w:spacing w:line="360" w:lineRule="auto"/>
              <w:contextualSpacing/>
              <w:jc w:val="center"/>
              <w:rPr>
                <w:rFonts w:ascii="仿宋_GB2312" w:hAnsi="仿宋_GB2312" w:eastAsia="仿宋_GB2312" w:cs="仿宋_GB2312"/>
                <w:color w:val="auto"/>
                <w:szCs w:val="21"/>
              </w:rPr>
            </w:pPr>
          </w:p>
        </w:tc>
        <w:tc>
          <w:tcPr>
            <w:tcW w:w="1061" w:type="dxa"/>
            <w:vMerge w:val="continue"/>
            <w:tcBorders>
              <w:left w:val="single" w:color="auto" w:sz="4" w:space="0"/>
              <w:bottom w:val="single" w:color="auto" w:sz="4" w:space="0"/>
              <w:right w:val="single" w:color="auto" w:sz="4" w:space="0"/>
            </w:tcBorders>
            <w:vAlign w:val="center"/>
          </w:tcPr>
          <w:p w14:paraId="10D6E870">
            <w:pPr>
              <w:autoSpaceDE w:val="0"/>
              <w:autoSpaceDN w:val="0"/>
              <w:spacing w:line="360" w:lineRule="auto"/>
              <w:contextualSpacing/>
              <w:jc w:val="center"/>
              <w:rPr>
                <w:rFonts w:ascii="仿宋_GB2312" w:hAnsi="仿宋_GB2312" w:eastAsia="仿宋_GB2312" w:cs="仿宋_GB2312"/>
                <w:color w:val="auto"/>
                <w:szCs w:val="21"/>
              </w:rPr>
            </w:pPr>
          </w:p>
        </w:tc>
        <w:tc>
          <w:tcPr>
            <w:tcW w:w="708" w:type="dxa"/>
            <w:vMerge w:val="continue"/>
            <w:tcBorders>
              <w:left w:val="single" w:color="auto" w:sz="4" w:space="0"/>
              <w:bottom w:val="single" w:color="auto" w:sz="4" w:space="0"/>
              <w:right w:val="single" w:color="auto" w:sz="4" w:space="0"/>
            </w:tcBorders>
            <w:vAlign w:val="center"/>
          </w:tcPr>
          <w:p w14:paraId="60D662A7">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p>
        </w:tc>
        <w:tc>
          <w:tcPr>
            <w:tcW w:w="6991" w:type="dxa"/>
            <w:tcBorders>
              <w:top w:val="single" w:color="auto" w:sz="4" w:space="0"/>
              <w:left w:val="single" w:color="auto" w:sz="4" w:space="0"/>
              <w:bottom w:val="single" w:color="auto" w:sz="4" w:space="0"/>
              <w:right w:val="single" w:color="auto" w:sz="4" w:space="0"/>
            </w:tcBorders>
            <w:vAlign w:val="center"/>
          </w:tcPr>
          <w:p w14:paraId="0FF33DA9">
            <w:pPr>
              <w:spacing w:line="360" w:lineRule="auto"/>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无具体的服务期限承诺，且无具体违约承诺，针对性较差赋分0-11分。</w:t>
            </w:r>
          </w:p>
        </w:tc>
      </w:tr>
      <w:tr w14:paraId="20C77427">
        <w:tblPrEx>
          <w:tblCellMar>
            <w:top w:w="0" w:type="dxa"/>
            <w:left w:w="0" w:type="dxa"/>
            <w:bottom w:w="0" w:type="dxa"/>
            <w:right w:w="0" w:type="dxa"/>
          </w:tblCellMar>
        </w:tblPrEx>
        <w:trPr>
          <w:trHeight w:val="1658" w:hRule="atLeast"/>
        </w:trPr>
        <w:tc>
          <w:tcPr>
            <w:tcW w:w="641" w:type="dxa"/>
            <w:tcBorders>
              <w:left w:val="single" w:color="auto" w:sz="4" w:space="0"/>
              <w:bottom w:val="single" w:color="auto" w:sz="4" w:space="0"/>
              <w:right w:val="single" w:color="auto" w:sz="4" w:space="0"/>
            </w:tcBorders>
          </w:tcPr>
          <w:p w14:paraId="17295655">
            <w:pPr>
              <w:autoSpaceDE w:val="0"/>
              <w:autoSpaceDN w:val="0"/>
              <w:spacing w:line="360" w:lineRule="auto"/>
              <w:contextualSpacing/>
              <w:jc w:val="center"/>
              <w:rPr>
                <w:rFonts w:ascii="仿宋_GB2312" w:hAnsi="仿宋_GB2312" w:eastAsia="仿宋_GB2312" w:cs="仿宋_GB2312"/>
                <w:color w:val="auto"/>
                <w:szCs w:val="21"/>
              </w:rPr>
            </w:pPr>
          </w:p>
          <w:p w14:paraId="6582CFB4">
            <w:pPr>
              <w:autoSpaceDE w:val="0"/>
              <w:autoSpaceDN w:val="0"/>
              <w:spacing w:line="360" w:lineRule="auto"/>
              <w:ind w:firstLine="210" w:firstLineChars="100"/>
              <w:contextualSpacing/>
              <w:rPr>
                <w:rFonts w:ascii="仿宋_GB2312" w:hAnsi="仿宋_GB2312" w:eastAsia="仿宋_GB2312" w:cs="仿宋_GB2312"/>
                <w:color w:val="auto"/>
                <w:szCs w:val="21"/>
              </w:rPr>
            </w:pPr>
            <w:r>
              <w:rPr>
                <w:rFonts w:hint="eastAsia" w:ascii="仿宋_GB2312" w:hAnsi="仿宋_GB2312" w:eastAsia="仿宋_GB2312" w:cs="仿宋_GB2312"/>
                <w:color w:val="auto"/>
                <w:szCs w:val="21"/>
              </w:rPr>
              <w:t>D</w:t>
            </w:r>
          </w:p>
        </w:tc>
        <w:tc>
          <w:tcPr>
            <w:tcW w:w="1061" w:type="dxa"/>
            <w:tcBorders>
              <w:left w:val="single" w:color="auto" w:sz="4" w:space="0"/>
              <w:bottom w:val="single" w:color="auto" w:sz="4" w:space="0"/>
              <w:right w:val="single" w:color="auto" w:sz="4" w:space="0"/>
            </w:tcBorders>
            <w:vAlign w:val="center"/>
          </w:tcPr>
          <w:p w14:paraId="39A30518">
            <w:pPr>
              <w:autoSpaceDE w:val="0"/>
              <w:autoSpaceDN w:val="0"/>
              <w:spacing w:line="360" w:lineRule="auto"/>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类似项目业绩评审</w:t>
            </w:r>
          </w:p>
        </w:tc>
        <w:tc>
          <w:tcPr>
            <w:tcW w:w="708" w:type="dxa"/>
            <w:tcBorders>
              <w:left w:val="single" w:color="auto" w:sz="4" w:space="0"/>
              <w:bottom w:val="single" w:color="auto" w:sz="4" w:space="0"/>
              <w:right w:val="single" w:color="auto" w:sz="4" w:space="0"/>
            </w:tcBorders>
            <w:vAlign w:val="center"/>
          </w:tcPr>
          <w:p w14:paraId="26B296E8">
            <w:pPr>
              <w:autoSpaceDE w:val="0"/>
              <w:autoSpaceDN w:val="0"/>
              <w:spacing w:line="360" w:lineRule="auto"/>
              <w:ind w:left="1" w:leftChars="-7" w:hanging="16" w:hangingChars="8"/>
              <w:contextualSpacing/>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w:t>
            </w:r>
          </w:p>
        </w:tc>
        <w:tc>
          <w:tcPr>
            <w:tcW w:w="6991" w:type="dxa"/>
            <w:tcBorders>
              <w:top w:val="single" w:color="auto" w:sz="4" w:space="0"/>
              <w:left w:val="single" w:color="auto" w:sz="4" w:space="0"/>
              <w:bottom w:val="single" w:color="auto" w:sz="4" w:space="0"/>
              <w:right w:val="single" w:color="auto" w:sz="4" w:space="0"/>
            </w:tcBorders>
            <w:vAlign w:val="center"/>
          </w:tcPr>
          <w:p w14:paraId="4FDEB778">
            <w:pPr>
              <w:spacing w:line="360" w:lineRule="auto"/>
              <w:contextualSpacing/>
              <w:rPr>
                <w:rFonts w:ascii="仿宋_GB2312" w:hAnsi="仿宋_GB2312" w:eastAsia="仿宋_GB2312" w:cs="仿宋_GB2312"/>
                <w:bCs/>
                <w:color w:val="auto"/>
                <w:szCs w:val="21"/>
              </w:rPr>
            </w:pPr>
            <w:r>
              <w:rPr>
                <w:rFonts w:hint="eastAsia" w:ascii="仿宋_GB2312" w:hAnsi="仿宋_GB2312" w:eastAsia="仿宋_GB2312" w:cs="仿宋_GB2312"/>
                <w:color w:val="auto"/>
                <w:szCs w:val="21"/>
              </w:rPr>
              <w:t>1.报名参加本项目的代理机构须云南省政府采购网备案，完成过1个类似项目招标代理业绩；2.每增加1个类似项目招标代理业绩加2.5分，此项满分10分，分值加满为止。</w:t>
            </w:r>
          </w:p>
        </w:tc>
      </w:tr>
    </w:tbl>
    <w:p w14:paraId="5A18FBEE">
      <w:pPr>
        <w:pStyle w:val="3"/>
        <w:spacing w:line="360" w:lineRule="auto"/>
        <w:ind w:firstLine="0"/>
        <w:contextualSpacing/>
        <w:rPr>
          <w:rFonts w:ascii="仿宋" w:hAnsi="仿宋" w:eastAsia="仿宋" w:cs="仿宋"/>
          <w:b/>
          <w:color w:val="auto"/>
          <w:szCs w:val="21"/>
        </w:rPr>
      </w:pPr>
    </w:p>
    <w:p w14:paraId="03066EE1">
      <w:pPr>
        <w:pStyle w:val="3"/>
        <w:spacing w:line="360" w:lineRule="auto"/>
        <w:ind w:firstLine="643" w:firstLineChars="200"/>
        <w:contextualSpacing/>
        <w:rPr>
          <w:rFonts w:ascii="黑体" w:hAnsi="黑体" w:eastAsia="黑体" w:cs="黑体"/>
          <w:b/>
          <w:color w:val="auto"/>
          <w:sz w:val="32"/>
          <w:szCs w:val="32"/>
        </w:rPr>
      </w:pPr>
      <w:r>
        <w:rPr>
          <w:rFonts w:hint="eastAsia" w:ascii="黑体" w:hAnsi="黑体" w:eastAsia="黑体" w:cs="黑体"/>
          <w:b/>
          <w:color w:val="auto"/>
          <w:sz w:val="32"/>
          <w:szCs w:val="32"/>
        </w:rPr>
        <w:t>三、评审办法</w:t>
      </w:r>
    </w:p>
    <w:p w14:paraId="54BFE1E8">
      <w:pPr>
        <w:pStyle w:val="3"/>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本次评审采用综合评分法。参照《中华人民共和国政府采购法》、《中华人民共和国政府采购法实施条例》、</w:t>
      </w:r>
      <w:r>
        <w:rPr>
          <w:rFonts w:hint="eastAsia" w:ascii="仿宋_GB2312" w:hAnsi="仿宋_GB2312" w:eastAsia="仿宋_GB2312" w:cs="仿宋_GB2312"/>
          <w:color w:val="auto"/>
          <w:kern w:val="0"/>
          <w:sz w:val="32"/>
          <w:szCs w:val="32"/>
        </w:rPr>
        <w:t>《政府采购竞争性比选采购方式管理暂行办法》、</w:t>
      </w:r>
      <w:r>
        <w:rPr>
          <w:rFonts w:hint="eastAsia" w:ascii="仿宋_GB2312" w:hAnsi="仿宋_GB2312" w:eastAsia="仿宋_GB2312" w:cs="仿宋_GB2312"/>
          <w:color w:val="auto"/>
          <w:sz w:val="32"/>
          <w:szCs w:val="32"/>
        </w:rPr>
        <w:t>《财政部关于政府采购竞争性比选采购方式管理暂行办法有关问题的补充通知》（财库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124号）等有关法律法规的规定，比选小组成员按照客观、公正、谨慎的原则，根据比选公告规定的评审程序、评审方法和评审标准进行独立评审。根据排名先后确定成交候选供应商。</w:t>
      </w:r>
    </w:p>
    <w:p w14:paraId="0C1A1622">
      <w:pPr>
        <w:pStyle w:val="3"/>
        <w:spacing w:line="360" w:lineRule="auto"/>
        <w:ind w:firstLine="643" w:firstLineChars="200"/>
        <w:contextualSpacing/>
        <w:rPr>
          <w:rFonts w:ascii="黑体" w:hAnsi="黑体" w:eastAsia="黑体" w:cs="黑体"/>
          <w:b/>
          <w:color w:val="auto"/>
          <w:sz w:val="32"/>
          <w:szCs w:val="32"/>
        </w:rPr>
      </w:pPr>
      <w:r>
        <w:rPr>
          <w:rFonts w:hint="eastAsia" w:ascii="黑体" w:hAnsi="黑体" w:eastAsia="黑体" w:cs="黑体"/>
          <w:b/>
          <w:color w:val="auto"/>
          <w:sz w:val="32"/>
          <w:szCs w:val="32"/>
        </w:rPr>
        <w:t>四、 评审程序</w:t>
      </w:r>
    </w:p>
    <w:p w14:paraId="2BA5254E">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符合性评审（通过制）；</w:t>
      </w:r>
    </w:p>
    <w:p w14:paraId="6AFAADE5">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4.2详细评审；</w:t>
      </w:r>
    </w:p>
    <w:p w14:paraId="783E293B">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 推荐成交候选供应商。</w:t>
      </w:r>
    </w:p>
    <w:p w14:paraId="4F9D4D24">
      <w:pPr>
        <w:spacing w:line="360" w:lineRule="auto"/>
        <w:ind w:firstLine="640" w:firstLineChars="200"/>
        <w:contextualSpacing/>
        <w:rPr>
          <w:rFonts w:ascii="黑体" w:hAnsi="黑体" w:eastAsia="黑体" w:cs="黑体"/>
          <w:b/>
          <w:color w:val="auto"/>
          <w:sz w:val="32"/>
          <w:szCs w:val="32"/>
        </w:rPr>
      </w:pPr>
      <w:r>
        <w:rPr>
          <w:rFonts w:hint="eastAsia" w:ascii="黑体" w:hAnsi="黑体" w:eastAsia="黑体" w:cs="黑体"/>
          <w:color w:val="auto"/>
          <w:sz w:val="32"/>
          <w:szCs w:val="32"/>
        </w:rPr>
        <w:t>五、</w:t>
      </w:r>
      <w:r>
        <w:rPr>
          <w:rFonts w:hint="eastAsia" w:ascii="黑体" w:hAnsi="黑体" w:eastAsia="黑体" w:cs="黑体"/>
          <w:b/>
          <w:color w:val="auto"/>
          <w:sz w:val="32"/>
          <w:szCs w:val="32"/>
        </w:rPr>
        <w:t xml:space="preserve"> 评审原则</w:t>
      </w:r>
    </w:p>
    <w:p w14:paraId="419BEF34">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 比选小组成员应当按照客观、公正、审慎的原则，根据比选文件规定的评审程序、评审方法和评审标准进行独立评审。未实质性响应比选文件的响应文件按无效响应处理，比选小组应当告知提交响应文件的供应商。</w:t>
      </w:r>
    </w:p>
    <w:p w14:paraId="4EB352F9">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比选小组应当根据综合评分情况，按照评审得分由高到低顺序推荐至少2名以上成交候选供应商，并编写评审报告。评审得分相同的，按照最后报价由低到高的顺序推荐。评审得分且最后报价相同的，按照技术指标优劣顺序推荐。</w:t>
      </w:r>
    </w:p>
    <w:p w14:paraId="201D425A">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5.3评审报告应当由比选小组全体人员签字认可。比选小组成员对评审报告有异议的，比选小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2EFBCA71">
      <w:pPr>
        <w:spacing w:line="360" w:lineRule="auto"/>
        <w:ind w:firstLine="643" w:firstLineChars="200"/>
        <w:contextualSpacing/>
        <w:rPr>
          <w:rFonts w:ascii="黑体" w:hAnsi="黑体" w:eastAsia="黑体" w:cs="黑体"/>
          <w:b/>
          <w:color w:val="auto"/>
          <w:sz w:val="32"/>
          <w:szCs w:val="32"/>
        </w:rPr>
      </w:pPr>
      <w:r>
        <w:rPr>
          <w:rFonts w:hint="eastAsia" w:ascii="黑体" w:hAnsi="黑体" w:eastAsia="黑体" w:cs="黑体"/>
          <w:b/>
          <w:color w:val="auto"/>
          <w:sz w:val="32"/>
          <w:szCs w:val="32"/>
        </w:rPr>
        <w:t>六、 评审工作</w:t>
      </w:r>
    </w:p>
    <w:p w14:paraId="464C6AF7">
      <w:pPr>
        <w:spacing w:line="360" w:lineRule="auto"/>
        <w:ind w:firstLine="465"/>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6.1符合性评审</w:t>
      </w:r>
    </w:p>
    <w:p w14:paraId="43E9A958">
      <w:pPr>
        <w:spacing w:line="360" w:lineRule="auto"/>
        <w:ind w:firstLine="465"/>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比选小组对响应文件的有效性、完整性和响应程度进行审查，符合性评审为通过制。</w:t>
      </w:r>
    </w:p>
    <w:p w14:paraId="78261C14">
      <w:pPr>
        <w:spacing w:line="360" w:lineRule="auto"/>
        <w:ind w:firstLine="465"/>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9389DC">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14:paraId="6AA7C9EE">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符合性评审为通过制，未通过的供应商不进入下一评审过程。</w:t>
      </w:r>
    </w:p>
    <w:p w14:paraId="36596184">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 详细评审</w:t>
      </w:r>
    </w:p>
    <w:p w14:paraId="1B8A1F62">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通过符合性评审的供应商按照综合评分法进行详细评审，综合比较，进行打分，详细评审部分满分为100分。为了保证项目的正常实施，维护政府采购的正常招标秩序，供应商不得以低于成本价（或进价）报价，否则其比选申请将可能被拒绝或被宣布为废标，不进入综合评分程序。</w:t>
      </w:r>
    </w:p>
    <w:p w14:paraId="57B6DAC1">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公式：评标总得分=F1×A1＋F2×A2＋……＋Fn×An</w:t>
      </w:r>
    </w:p>
    <w:p w14:paraId="63D64D02">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F1、F2……Fn分别为各项评分因素的汇总得分；</w:t>
      </w:r>
    </w:p>
    <w:p w14:paraId="7CBE7378">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vertAlign w:val="subscript"/>
        </w:rPr>
        <w:t>1、</w:t>
      </w: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vertAlign w:val="subscript"/>
        </w:rPr>
        <w:t>n</w:t>
      </w:r>
      <w:r>
        <w:rPr>
          <w:rFonts w:hint="eastAsia" w:ascii="仿宋_GB2312" w:hAnsi="仿宋_GB2312" w:eastAsia="仿宋_GB2312" w:cs="仿宋_GB2312"/>
          <w:color w:val="auto"/>
          <w:sz w:val="32"/>
          <w:szCs w:val="32"/>
        </w:rPr>
        <w:t xml:space="preserve"> 分别为各项评分因素所占的权重(A</w:t>
      </w:r>
      <w:r>
        <w:rPr>
          <w:rFonts w:hint="eastAsia" w:ascii="仿宋_GB2312" w:hAnsi="仿宋_GB2312" w:eastAsia="仿宋_GB2312" w:cs="仿宋_GB2312"/>
          <w:color w:val="auto"/>
          <w:sz w:val="32"/>
          <w:szCs w:val="32"/>
          <w:vertAlign w:val="subscript"/>
        </w:rPr>
        <w:t>1</w:t>
      </w: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vertAlign w:val="subscript"/>
        </w:rPr>
        <w:t>2</w:t>
      </w: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vertAlign w:val="subscript"/>
        </w:rPr>
        <w:t>n</w:t>
      </w:r>
      <w:r>
        <w:rPr>
          <w:rFonts w:hint="eastAsia" w:ascii="仿宋_GB2312" w:hAnsi="仿宋_GB2312" w:eastAsia="仿宋_GB2312" w:cs="仿宋_GB2312"/>
          <w:color w:val="auto"/>
          <w:sz w:val="32"/>
          <w:szCs w:val="32"/>
        </w:rPr>
        <w:t>＝1)。</w:t>
      </w:r>
    </w:p>
    <w:p w14:paraId="63D81ADD">
      <w:pPr>
        <w:spacing w:line="360" w:lineRule="auto"/>
        <w:ind w:firstLine="643" w:firstLineChars="200"/>
        <w:contextualSpacing/>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（1）F1为比选报价得分，满分为100分,A1为0.10</w:t>
      </w:r>
      <w:r>
        <w:rPr>
          <w:rFonts w:hint="eastAsia" w:ascii="仿宋_GB2312" w:hAnsi="仿宋_GB2312" w:eastAsia="仿宋_GB2312" w:cs="仿宋_GB2312"/>
          <w:bCs/>
          <w:color w:val="auto"/>
          <w:sz w:val="32"/>
          <w:szCs w:val="32"/>
        </w:rPr>
        <w:t>；</w:t>
      </w:r>
    </w:p>
    <w:p w14:paraId="11A1B185">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综合评分法中的价格分统一采用低价优先法计算，即满足比选文件要求且最后报价最低的供应商的价格为比选基准价，其价格分为满分。其他供应商的价格分统一按照下列公式计算：</w:t>
      </w:r>
    </w:p>
    <w:p w14:paraId="1B448513">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比选报价得分=（比选基准价/比选报价）×100</w:t>
      </w:r>
    </w:p>
    <w:p w14:paraId="3D1F94CC">
      <w:pPr>
        <w:spacing w:line="360" w:lineRule="auto"/>
        <w:ind w:firstLine="643"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比选基准价：满足比选文件要求且最后报价最低的供应商的价格。</w:t>
      </w:r>
    </w:p>
    <w:p w14:paraId="02639267">
      <w:pPr>
        <w:spacing w:line="360" w:lineRule="auto"/>
        <w:ind w:firstLine="643" w:firstLineChars="200"/>
        <w:contextualSpacing/>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（2）F2为技术及商务部分得分，满分100分，A2为0.90</w:t>
      </w:r>
      <w:r>
        <w:rPr>
          <w:rFonts w:hint="eastAsia" w:ascii="仿宋_GB2312" w:hAnsi="仿宋_GB2312" w:eastAsia="仿宋_GB2312" w:cs="仿宋_GB2312"/>
          <w:bCs/>
          <w:color w:val="auto"/>
          <w:sz w:val="32"/>
          <w:szCs w:val="32"/>
        </w:rPr>
        <w:t>；</w:t>
      </w:r>
    </w:p>
    <w:p w14:paraId="2349BCEB">
      <w:pPr>
        <w:spacing w:line="360" w:lineRule="auto"/>
        <w:ind w:firstLine="640" w:firstLineChars="200"/>
        <w:contextualSpacing/>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评分要求和统计分数原则：</w:t>
      </w:r>
    </w:p>
    <w:p w14:paraId="40138E3F">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比选小组按评审标准“F2技术及商务部分评审因素”规定的量化因素和分值进行打分，并计算出各供应商的得分。</w:t>
      </w:r>
    </w:p>
    <w:p w14:paraId="0BBDE630">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p>
    <w:p w14:paraId="5F0AD8C6">
      <w:pPr>
        <w:pStyle w:val="9"/>
        <w:numPr>
          <w:ilvl w:val="0"/>
          <w:numId w:val="1"/>
        </w:numPr>
        <w:spacing w:line="360" w:lineRule="auto"/>
        <w:ind w:firstLineChars="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工作方案评审得分A；</w:t>
      </w:r>
    </w:p>
    <w:p w14:paraId="6EE6E1BE">
      <w:pPr>
        <w:pStyle w:val="9"/>
        <w:numPr>
          <w:ilvl w:val="0"/>
          <w:numId w:val="1"/>
        </w:numPr>
        <w:spacing w:line="360" w:lineRule="auto"/>
        <w:ind w:firstLineChars="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服务质量承诺评审得分B；</w:t>
      </w:r>
    </w:p>
    <w:p w14:paraId="698DF482">
      <w:pPr>
        <w:pStyle w:val="2"/>
        <w:numPr>
          <w:ilvl w:val="0"/>
          <w:numId w:val="1"/>
        </w:numPr>
        <w:jc w:val="both"/>
        <w:rPr>
          <w:rFonts w:ascii="仿宋" w:hAnsi="仿宋" w:eastAsia="仿宋"/>
          <w:b w:val="0"/>
          <w:color w:val="auto"/>
        </w:rPr>
      </w:pPr>
      <w:r>
        <w:rPr>
          <w:rFonts w:hint="eastAsia" w:ascii="仿宋" w:hAnsi="仿宋" w:eastAsia="仿宋"/>
          <w:b w:val="0"/>
          <w:color w:val="auto"/>
        </w:rPr>
        <w:t>服务期限承诺评审得分C；</w:t>
      </w:r>
    </w:p>
    <w:p w14:paraId="6321D58E">
      <w:pPr>
        <w:pStyle w:val="9"/>
        <w:numPr>
          <w:ilvl w:val="0"/>
          <w:numId w:val="1"/>
        </w:numPr>
        <w:spacing w:line="360" w:lineRule="auto"/>
        <w:ind w:firstLineChars="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企业业绩评审得分D；</w:t>
      </w:r>
    </w:p>
    <w:p w14:paraId="46C1595F">
      <w:pPr>
        <w:spacing w:line="360" w:lineRule="auto"/>
        <w:ind w:firstLine="54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评分中，比选小组应自主评分并签字确认，计算各项平均分值（保留小数点后两位）。</w:t>
      </w:r>
    </w:p>
    <w:p w14:paraId="2F82256C">
      <w:pPr>
        <w:spacing w:line="360" w:lineRule="auto"/>
        <w:ind w:firstLine="54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供应商技术及商务部分得分=A+B+C+D</w:t>
      </w:r>
    </w:p>
    <w:p w14:paraId="2E892927">
      <w:pPr>
        <w:spacing w:line="360" w:lineRule="auto"/>
        <w:ind w:firstLine="540"/>
        <w:contextualSpacing/>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（3）供应商综合得分:</w:t>
      </w:r>
      <w:r>
        <w:rPr>
          <w:rFonts w:hint="eastAsia" w:ascii="仿宋_GB2312" w:hAnsi="仿宋_GB2312" w:eastAsia="仿宋_GB2312" w:cs="仿宋_GB2312"/>
          <w:color w:val="auto"/>
          <w:sz w:val="32"/>
          <w:szCs w:val="32"/>
        </w:rPr>
        <w:t>F1×A1＋F2×A2</w:t>
      </w:r>
      <w:r>
        <w:rPr>
          <w:rFonts w:hint="eastAsia" w:ascii="仿宋_GB2312" w:hAnsi="仿宋_GB2312" w:eastAsia="仿宋_GB2312" w:cs="仿宋_GB2312"/>
          <w:b/>
          <w:color w:val="auto"/>
          <w:sz w:val="32"/>
          <w:szCs w:val="32"/>
        </w:rPr>
        <w:tab/>
      </w:r>
    </w:p>
    <w:p w14:paraId="3BFE9E68">
      <w:pPr>
        <w:spacing w:line="360" w:lineRule="auto"/>
        <w:ind w:firstLine="643"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七、推荐成交候选供应商</w:t>
      </w:r>
    </w:p>
    <w:p w14:paraId="4AB245D6">
      <w:pPr>
        <w:spacing w:line="360" w:lineRule="auto"/>
        <w:ind w:firstLine="54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比选小组应当根据综合评分情况，按照综合得分由高到低顺序推荐至少2名成交候选供应商，并编写评审报告。评审得分相同的，按照最后报价由低到高的顺序推荐。评审得分且最后报价相同的，按照技术指标优劣顺序推荐。</w:t>
      </w:r>
    </w:p>
    <w:p w14:paraId="1E5D9C5F">
      <w:pPr>
        <w:spacing w:line="360" w:lineRule="auto"/>
        <w:ind w:firstLine="54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7.2评审报告应当由比选小组全体人员签字认可。比选小组成员对评审报告有异议的，比选小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0F8D4566">
      <w:pPr>
        <w:spacing w:line="360" w:lineRule="auto"/>
        <w:ind w:firstLine="643" w:firstLineChars="200"/>
        <w:contextualSpacing/>
        <w:rPr>
          <w:rFonts w:ascii="黑体" w:hAnsi="黑体" w:eastAsia="黑体" w:cs="黑体"/>
          <w:b/>
          <w:color w:val="auto"/>
          <w:sz w:val="32"/>
          <w:szCs w:val="32"/>
        </w:rPr>
      </w:pPr>
      <w:r>
        <w:rPr>
          <w:rFonts w:hint="eastAsia" w:ascii="黑体" w:hAnsi="黑体" w:eastAsia="黑体" w:cs="黑体"/>
          <w:b/>
          <w:color w:val="auto"/>
          <w:sz w:val="32"/>
          <w:szCs w:val="32"/>
        </w:rPr>
        <w:t>八 、比选过程的保密</w:t>
      </w:r>
    </w:p>
    <w:p w14:paraId="49BB0014">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8.1响应文件开启后，直至授予成交人合同为止，凡属于对响应文件的审查、澄清、评价和比较的有关资料以及成交侯选供应商的推荐情况，与评审有关的其他任何情况均严格保密。</w:t>
      </w:r>
    </w:p>
    <w:p w14:paraId="70C93758">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8.2在响应文件的评审和比较、成交候选供应商推荐以及授予合同的过程中，供应商向采购人和比选小组施加影响的任何行为，都将会导致其比选申请将被拒绝。</w:t>
      </w:r>
    </w:p>
    <w:p w14:paraId="7D9F5D6C">
      <w:pPr>
        <w:spacing w:line="360" w:lineRule="auto"/>
        <w:ind w:firstLine="640" w:firstLineChars="200"/>
        <w:contextualSpacing/>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8.3成交供应商确定后，采购人不对未成交供应商就比选过程以及未能成交原因作出任何解释。未成交供应商不得向比选小组组成人员或其他有关人员索问比选过程的情况和资料。</w:t>
      </w:r>
    </w:p>
    <w:p w14:paraId="4E94DD86">
      <w:pPr>
        <w:spacing w:line="360" w:lineRule="auto"/>
        <w:contextualSpacing/>
        <w:rPr>
          <w:rFonts w:ascii="仿宋_GB2312" w:hAnsi="仿宋_GB2312" w:eastAsia="仿宋_GB2312" w:cs="仿宋_GB2312"/>
          <w:b/>
          <w:color w:val="auto"/>
          <w:sz w:val="32"/>
          <w:szCs w:val="32"/>
        </w:rPr>
      </w:pPr>
    </w:p>
    <w:p w14:paraId="640DDC61">
      <w:pPr>
        <w:spacing w:line="360" w:lineRule="auto"/>
        <w:ind w:firstLine="640" w:firstLineChars="200"/>
        <w:contextualSpacing/>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注：比选中若遇特殊问题，由比选小组根据有关法律、法规、规定研究决定。</w:t>
      </w:r>
    </w:p>
    <w:p w14:paraId="7E3A0257">
      <w:pPr>
        <w:spacing w:line="560" w:lineRule="exact"/>
        <w:ind w:firstLine="640" w:firstLineChars="200"/>
        <w:rPr>
          <w:rFonts w:ascii="Times New Roman" w:hAnsi="Times New Roman" w:eastAsia="仿宋_GB2312" w:cs="Times New Roman"/>
          <w:color w:val="auto"/>
          <w:sz w:val="32"/>
          <w:szCs w:val="32"/>
        </w:rPr>
      </w:pP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粗黑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3850">
    <w:pPr>
      <w:pStyle w:val="4"/>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626DD080">
                <w:pPr>
                  <w:pStyle w:val="4"/>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D78E7"/>
    <w:multiLevelType w:val="multilevel"/>
    <w:tmpl w:val="34FD78E7"/>
    <w:lvl w:ilvl="0" w:tentative="0">
      <w:start w:val="1"/>
      <w:numFmt w:val="decimalEnclosedCircle"/>
      <w:lvlText w:val="%1"/>
      <w:lvlJc w:val="left"/>
      <w:pPr>
        <w:ind w:left="1211" w:hanging="36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lMDhlNzUxNjgxZWJiMmY5ODNhYWMyNzhlOGU5OGUifQ=="/>
  </w:docVars>
  <w:rsids>
    <w:rsidRoot w:val="00535C4B"/>
    <w:rsid w:val="00016C39"/>
    <w:rsid w:val="00042FF8"/>
    <w:rsid w:val="000459A0"/>
    <w:rsid w:val="001130B2"/>
    <w:rsid w:val="00170E87"/>
    <w:rsid w:val="00176F57"/>
    <w:rsid w:val="001C62AF"/>
    <w:rsid w:val="002A6DA1"/>
    <w:rsid w:val="002F7534"/>
    <w:rsid w:val="00305345"/>
    <w:rsid w:val="00351524"/>
    <w:rsid w:val="00353633"/>
    <w:rsid w:val="00387A60"/>
    <w:rsid w:val="003F59B8"/>
    <w:rsid w:val="00463807"/>
    <w:rsid w:val="00496DE2"/>
    <w:rsid w:val="00535C4B"/>
    <w:rsid w:val="00704DF8"/>
    <w:rsid w:val="00706939"/>
    <w:rsid w:val="007145A1"/>
    <w:rsid w:val="007B7053"/>
    <w:rsid w:val="00823CB0"/>
    <w:rsid w:val="0088753D"/>
    <w:rsid w:val="008C7311"/>
    <w:rsid w:val="00912B4B"/>
    <w:rsid w:val="00940210"/>
    <w:rsid w:val="00985039"/>
    <w:rsid w:val="009A1AD5"/>
    <w:rsid w:val="009B36B2"/>
    <w:rsid w:val="00A67EEF"/>
    <w:rsid w:val="00A73085"/>
    <w:rsid w:val="00A87955"/>
    <w:rsid w:val="00A927B6"/>
    <w:rsid w:val="00AC0AA4"/>
    <w:rsid w:val="00B00B4B"/>
    <w:rsid w:val="00B14BF7"/>
    <w:rsid w:val="00B42808"/>
    <w:rsid w:val="00B474F8"/>
    <w:rsid w:val="00B56CD1"/>
    <w:rsid w:val="00B8369C"/>
    <w:rsid w:val="00C02DC3"/>
    <w:rsid w:val="00C84E34"/>
    <w:rsid w:val="00C93303"/>
    <w:rsid w:val="00D64B83"/>
    <w:rsid w:val="00D961BA"/>
    <w:rsid w:val="00DC18F9"/>
    <w:rsid w:val="00E21761"/>
    <w:rsid w:val="00E24EBF"/>
    <w:rsid w:val="00E25BE5"/>
    <w:rsid w:val="00EA4054"/>
    <w:rsid w:val="00EC180E"/>
    <w:rsid w:val="00EE6685"/>
    <w:rsid w:val="00EF6C22"/>
    <w:rsid w:val="00F60408"/>
    <w:rsid w:val="01280E1D"/>
    <w:rsid w:val="01336C8A"/>
    <w:rsid w:val="014A70CD"/>
    <w:rsid w:val="016022C9"/>
    <w:rsid w:val="01650D93"/>
    <w:rsid w:val="016E73C3"/>
    <w:rsid w:val="017A5E91"/>
    <w:rsid w:val="020943D9"/>
    <w:rsid w:val="0225645C"/>
    <w:rsid w:val="022F55F8"/>
    <w:rsid w:val="02393C70"/>
    <w:rsid w:val="024D6215"/>
    <w:rsid w:val="02550B73"/>
    <w:rsid w:val="02601D12"/>
    <w:rsid w:val="028C1AC3"/>
    <w:rsid w:val="02ED7F66"/>
    <w:rsid w:val="034941E4"/>
    <w:rsid w:val="035153D1"/>
    <w:rsid w:val="035544F9"/>
    <w:rsid w:val="03921C17"/>
    <w:rsid w:val="03E73484"/>
    <w:rsid w:val="03F57023"/>
    <w:rsid w:val="03F61292"/>
    <w:rsid w:val="040F7A73"/>
    <w:rsid w:val="041C6943"/>
    <w:rsid w:val="04A51D79"/>
    <w:rsid w:val="04DC7DFD"/>
    <w:rsid w:val="05211156"/>
    <w:rsid w:val="05424320"/>
    <w:rsid w:val="05AF2C63"/>
    <w:rsid w:val="05C9633E"/>
    <w:rsid w:val="05CE33E6"/>
    <w:rsid w:val="05F031DD"/>
    <w:rsid w:val="06782193"/>
    <w:rsid w:val="06E05229"/>
    <w:rsid w:val="06FF21D5"/>
    <w:rsid w:val="07112488"/>
    <w:rsid w:val="07244883"/>
    <w:rsid w:val="07654BB4"/>
    <w:rsid w:val="076D2FB1"/>
    <w:rsid w:val="076E1ED6"/>
    <w:rsid w:val="07790814"/>
    <w:rsid w:val="07D64DC1"/>
    <w:rsid w:val="081C3419"/>
    <w:rsid w:val="08584B08"/>
    <w:rsid w:val="0882502C"/>
    <w:rsid w:val="090A79E8"/>
    <w:rsid w:val="093B1E88"/>
    <w:rsid w:val="098A1225"/>
    <w:rsid w:val="09D018E6"/>
    <w:rsid w:val="0A105079"/>
    <w:rsid w:val="0A1740FA"/>
    <w:rsid w:val="0A7860AF"/>
    <w:rsid w:val="0B5C4C9A"/>
    <w:rsid w:val="0BA5360C"/>
    <w:rsid w:val="0BA9471F"/>
    <w:rsid w:val="0BCA45AE"/>
    <w:rsid w:val="0BD07403"/>
    <w:rsid w:val="0BD71E71"/>
    <w:rsid w:val="0BEF22E5"/>
    <w:rsid w:val="0C565015"/>
    <w:rsid w:val="0C9609AF"/>
    <w:rsid w:val="0C965357"/>
    <w:rsid w:val="0CBA43AD"/>
    <w:rsid w:val="0D121420"/>
    <w:rsid w:val="0D857A4C"/>
    <w:rsid w:val="0D942584"/>
    <w:rsid w:val="0DA96690"/>
    <w:rsid w:val="0DF409CA"/>
    <w:rsid w:val="0E16070D"/>
    <w:rsid w:val="0E2D0A55"/>
    <w:rsid w:val="0E45394A"/>
    <w:rsid w:val="0E745FDD"/>
    <w:rsid w:val="0EB05E17"/>
    <w:rsid w:val="0EC30D8E"/>
    <w:rsid w:val="0EC5638C"/>
    <w:rsid w:val="0ED34484"/>
    <w:rsid w:val="0EE818D1"/>
    <w:rsid w:val="0EF66955"/>
    <w:rsid w:val="0F050D77"/>
    <w:rsid w:val="0F085471"/>
    <w:rsid w:val="0FDF2C9F"/>
    <w:rsid w:val="0FE3713B"/>
    <w:rsid w:val="0FFD01A3"/>
    <w:rsid w:val="103831F3"/>
    <w:rsid w:val="108D5BA2"/>
    <w:rsid w:val="10BC596E"/>
    <w:rsid w:val="10D36197"/>
    <w:rsid w:val="10F302DF"/>
    <w:rsid w:val="110042B3"/>
    <w:rsid w:val="113F28A2"/>
    <w:rsid w:val="11605E20"/>
    <w:rsid w:val="11AB3878"/>
    <w:rsid w:val="124B42F2"/>
    <w:rsid w:val="125A244C"/>
    <w:rsid w:val="132C26F5"/>
    <w:rsid w:val="133C3D75"/>
    <w:rsid w:val="13655E00"/>
    <w:rsid w:val="136606D7"/>
    <w:rsid w:val="137258A0"/>
    <w:rsid w:val="138E7BD3"/>
    <w:rsid w:val="13B82AC8"/>
    <w:rsid w:val="13D9571A"/>
    <w:rsid w:val="149F10E8"/>
    <w:rsid w:val="14A33798"/>
    <w:rsid w:val="14B91AEC"/>
    <w:rsid w:val="14E87CF9"/>
    <w:rsid w:val="150358FF"/>
    <w:rsid w:val="150B5918"/>
    <w:rsid w:val="15235D86"/>
    <w:rsid w:val="153739F3"/>
    <w:rsid w:val="15627D32"/>
    <w:rsid w:val="158625FD"/>
    <w:rsid w:val="15B85E8A"/>
    <w:rsid w:val="15B96FCD"/>
    <w:rsid w:val="15DA2F04"/>
    <w:rsid w:val="15DA2F0D"/>
    <w:rsid w:val="15F20CDE"/>
    <w:rsid w:val="160050CA"/>
    <w:rsid w:val="161B555F"/>
    <w:rsid w:val="16AC2553"/>
    <w:rsid w:val="17271E46"/>
    <w:rsid w:val="174745C2"/>
    <w:rsid w:val="178610A0"/>
    <w:rsid w:val="1786679C"/>
    <w:rsid w:val="17C31D48"/>
    <w:rsid w:val="17C555A3"/>
    <w:rsid w:val="17E17FDB"/>
    <w:rsid w:val="18272051"/>
    <w:rsid w:val="185362B7"/>
    <w:rsid w:val="18C23A12"/>
    <w:rsid w:val="18CA50EB"/>
    <w:rsid w:val="18E835E3"/>
    <w:rsid w:val="18FB48B1"/>
    <w:rsid w:val="18FF5953"/>
    <w:rsid w:val="195C292D"/>
    <w:rsid w:val="19716072"/>
    <w:rsid w:val="198F37CA"/>
    <w:rsid w:val="19AC7699"/>
    <w:rsid w:val="19BB2E7C"/>
    <w:rsid w:val="19C11C6C"/>
    <w:rsid w:val="19D11ED2"/>
    <w:rsid w:val="1A20753A"/>
    <w:rsid w:val="1A453412"/>
    <w:rsid w:val="1A504655"/>
    <w:rsid w:val="1AB06C70"/>
    <w:rsid w:val="1B0A0364"/>
    <w:rsid w:val="1B150229"/>
    <w:rsid w:val="1B2403D8"/>
    <w:rsid w:val="1BB150A0"/>
    <w:rsid w:val="1BC013DB"/>
    <w:rsid w:val="1BEF1F3D"/>
    <w:rsid w:val="1C2110BF"/>
    <w:rsid w:val="1C585C05"/>
    <w:rsid w:val="1C5B24CA"/>
    <w:rsid w:val="1CD20951"/>
    <w:rsid w:val="1CE456E7"/>
    <w:rsid w:val="1CEC0526"/>
    <w:rsid w:val="1CFF29F6"/>
    <w:rsid w:val="1D2D1A08"/>
    <w:rsid w:val="1D5F1052"/>
    <w:rsid w:val="1D6A3D15"/>
    <w:rsid w:val="1D7E7605"/>
    <w:rsid w:val="1D885E0A"/>
    <w:rsid w:val="1DDB18F1"/>
    <w:rsid w:val="1DFB090E"/>
    <w:rsid w:val="1E9A0A68"/>
    <w:rsid w:val="1EA60271"/>
    <w:rsid w:val="1EB57539"/>
    <w:rsid w:val="1F127FAA"/>
    <w:rsid w:val="1F3D6964"/>
    <w:rsid w:val="1F6514D1"/>
    <w:rsid w:val="1F7C06C2"/>
    <w:rsid w:val="1FA726B3"/>
    <w:rsid w:val="20014723"/>
    <w:rsid w:val="204A1AE0"/>
    <w:rsid w:val="205D5216"/>
    <w:rsid w:val="20AB72E8"/>
    <w:rsid w:val="20B036BE"/>
    <w:rsid w:val="213B6C14"/>
    <w:rsid w:val="215C1ADF"/>
    <w:rsid w:val="217A5B8F"/>
    <w:rsid w:val="221F210D"/>
    <w:rsid w:val="222D1D0E"/>
    <w:rsid w:val="2232416C"/>
    <w:rsid w:val="22544DC0"/>
    <w:rsid w:val="22B911A0"/>
    <w:rsid w:val="22C571AB"/>
    <w:rsid w:val="22D700D7"/>
    <w:rsid w:val="22FD07B4"/>
    <w:rsid w:val="2314480C"/>
    <w:rsid w:val="23633208"/>
    <w:rsid w:val="236C6FE7"/>
    <w:rsid w:val="23D0540C"/>
    <w:rsid w:val="23FC6B63"/>
    <w:rsid w:val="241E1210"/>
    <w:rsid w:val="246D7624"/>
    <w:rsid w:val="24910E46"/>
    <w:rsid w:val="249E6E70"/>
    <w:rsid w:val="24D840A6"/>
    <w:rsid w:val="24DC43B5"/>
    <w:rsid w:val="25574F9A"/>
    <w:rsid w:val="2599216A"/>
    <w:rsid w:val="262A05A6"/>
    <w:rsid w:val="265F4DDC"/>
    <w:rsid w:val="266728A8"/>
    <w:rsid w:val="26940967"/>
    <w:rsid w:val="26CA2B10"/>
    <w:rsid w:val="26F23F7B"/>
    <w:rsid w:val="2739637E"/>
    <w:rsid w:val="2755520B"/>
    <w:rsid w:val="27702829"/>
    <w:rsid w:val="27704975"/>
    <w:rsid w:val="277168A8"/>
    <w:rsid w:val="27E52A6F"/>
    <w:rsid w:val="27EB431F"/>
    <w:rsid w:val="27F3256F"/>
    <w:rsid w:val="27FB474C"/>
    <w:rsid w:val="28037F81"/>
    <w:rsid w:val="280F1962"/>
    <w:rsid w:val="28855093"/>
    <w:rsid w:val="28A27D91"/>
    <w:rsid w:val="28B95DF3"/>
    <w:rsid w:val="28BA4F54"/>
    <w:rsid w:val="28D2630A"/>
    <w:rsid w:val="28EB269C"/>
    <w:rsid w:val="28F07193"/>
    <w:rsid w:val="29243173"/>
    <w:rsid w:val="29320510"/>
    <w:rsid w:val="293A78E4"/>
    <w:rsid w:val="295F0D09"/>
    <w:rsid w:val="29B913FE"/>
    <w:rsid w:val="29DD37C7"/>
    <w:rsid w:val="29E26167"/>
    <w:rsid w:val="2A2E1FE2"/>
    <w:rsid w:val="2A5C6212"/>
    <w:rsid w:val="2A635DC2"/>
    <w:rsid w:val="2ADC7A5A"/>
    <w:rsid w:val="2AE661DB"/>
    <w:rsid w:val="2AE85EFD"/>
    <w:rsid w:val="2AFE5440"/>
    <w:rsid w:val="2B820134"/>
    <w:rsid w:val="2B93545A"/>
    <w:rsid w:val="2BD26589"/>
    <w:rsid w:val="2BDA1A53"/>
    <w:rsid w:val="2BDD0BDB"/>
    <w:rsid w:val="2C27440C"/>
    <w:rsid w:val="2C313993"/>
    <w:rsid w:val="2C67628F"/>
    <w:rsid w:val="2CBA55C4"/>
    <w:rsid w:val="2D36076E"/>
    <w:rsid w:val="2D414EB1"/>
    <w:rsid w:val="2D5D656A"/>
    <w:rsid w:val="2D98666E"/>
    <w:rsid w:val="2D996E6F"/>
    <w:rsid w:val="2DB766F0"/>
    <w:rsid w:val="2E06411A"/>
    <w:rsid w:val="2E0B4105"/>
    <w:rsid w:val="2E172745"/>
    <w:rsid w:val="2E3322FC"/>
    <w:rsid w:val="2E8F6441"/>
    <w:rsid w:val="2E97591D"/>
    <w:rsid w:val="2EFE0978"/>
    <w:rsid w:val="2EFF2142"/>
    <w:rsid w:val="2F447644"/>
    <w:rsid w:val="2F876975"/>
    <w:rsid w:val="2FC1091B"/>
    <w:rsid w:val="2FD871E4"/>
    <w:rsid w:val="2FF822BA"/>
    <w:rsid w:val="2FF82996"/>
    <w:rsid w:val="30087EAD"/>
    <w:rsid w:val="30427777"/>
    <w:rsid w:val="304472C6"/>
    <w:rsid w:val="306133D2"/>
    <w:rsid w:val="30953C99"/>
    <w:rsid w:val="30E138F5"/>
    <w:rsid w:val="30E80120"/>
    <w:rsid w:val="318F36B4"/>
    <w:rsid w:val="31AF6669"/>
    <w:rsid w:val="31FF2458"/>
    <w:rsid w:val="32433C79"/>
    <w:rsid w:val="32981D3E"/>
    <w:rsid w:val="32AB7109"/>
    <w:rsid w:val="32CC041A"/>
    <w:rsid w:val="32FE1A12"/>
    <w:rsid w:val="330C7E2B"/>
    <w:rsid w:val="330D7C05"/>
    <w:rsid w:val="333346B9"/>
    <w:rsid w:val="334E3C35"/>
    <w:rsid w:val="335B7E27"/>
    <w:rsid w:val="337353FC"/>
    <w:rsid w:val="339C227C"/>
    <w:rsid w:val="33B46B2C"/>
    <w:rsid w:val="34075909"/>
    <w:rsid w:val="342D5887"/>
    <w:rsid w:val="34614E35"/>
    <w:rsid w:val="35080E9D"/>
    <w:rsid w:val="351221D1"/>
    <w:rsid w:val="353B57A0"/>
    <w:rsid w:val="3542218B"/>
    <w:rsid w:val="35610768"/>
    <w:rsid w:val="358E5DC8"/>
    <w:rsid w:val="35997DB5"/>
    <w:rsid w:val="35FE5926"/>
    <w:rsid w:val="36276307"/>
    <w:rsid w:val="364B2D08"/>
    <w:rsid w:val="365027EE"/>
    <w:rsid w:val="36646464"/>
    <w:rsid w:val="36D86FFE"/>
    <w:rsid w:val="36E15385"/>
    <w:rsid w:val="36F57B63"/>
    <w:rsid w:val="37086C61"/>
    <w:rsid w:val="371B02E5"/>
    <w:rsid w:val="3772428B"/>
    <w:rsid w:val="37830E09"/>
    <w:rsid w:val="3799284A"/>
    <w:rsid w:val="379E6242"/>
    <w:rsid w:val="37A2598A"/>
    <w:rsid w:val="37A73C89"/>
    <w:rsid w:val="37B2419C"/>
    <w:rsid w:val="38493E75"/>
    <w:rsid w:val="38587130"/>
    <w:rsid w:val="385A1FE2"/>
    <w:rsid w:val="38BE52B4"/>
    <w:rsid w:val="38E84E65"/>
    <w:rsid w:val="390F7BF1"/>
    <w:rsid w:val="3919056F"/>
    <w:rsid w:val="394F43A5"/>
    <w:rsid w:val="39693045"/>
    <w:rsid w:val="397F73B1"/>
    <w:rsid w:val="3993788B"/>
    <w:rsid w:val="39BB690E"/>
    <w:rsid w:val="39D81213"/>
    <w:rsid w:val="39D91F44"/>
    <w:rsid w:val="3A9200C5"/>
    <w:rsid w:val="3AED7110"/>
    <w:rsid w:val="3B0C7D86"/>
    <w:rsid w:val="3B19691E"/>
    <w:rsid w:val="3B3C33FA"/>
    <w:rsid w:val="3B631F50"/>
    <w:rsid w:val="3B7E4737"/>
    <w:rsid w:val="3BC52659"/>
    <w:rsid w:val="3BCE00D5"/>
    <w:rsid w:val="3C294CC9"/>
    <w:rsid w:val="3C666320"/>
    <w:rsid w:val="3D0A7FA5"/>
    <w:rsid w:val="3D1354E4"/>
    <w:rsid w:val="3D174CD4"/>
    <w:rsid w:val="3D2D0FE1"/>
    <w:rsid w:val="3D324146"/>
    <w:rsid w:val="3D7C46A6"/>
    <w:rsid w:val="3DAA2DE7"/>
    <w:rsid w:val="3E161719"/>
    <w:rsid w:val="3E7F360E"/>
    <w:rsid w:val="3E8546CE"/>
    <w:rsid w:val="3EA75E0E"/>
    <w:rsid w:val="3EB249A8"/>
    <w:rsid w:val="3EC94DE8"/>
    <w:rsid w:val="3EF6058B"/>
    <w:rsid w:val="3F1D1114"/>
    <w:rsid w:val="3F5B1A9F"/>
    <w:rsid w:val="3F946F6B"/>
    <w:rsid w:val="403B53F5"/>
    <w:rsid w:val="40D11CBC"/>
    <w:rsid w:val="40DA3506"/>
    <w:rsid w:val="40EA0330"/>
    <w:rsid w:val="410A74C8"/>
    <w:rsid w:val="410E0A29"/>
    <w:rsid w:val="4136703C"/>
    <w:rsid w:val="413B0280"/>
    <w:rsid w:val="41BC1964"/>
    <w:rsid w:val="41EF12FC"/>
    <w:rsid w:val="424C0EB4"/>
    <w:rsid w:val="4296109A"/>
    <w:rsid w:val="42A7044D"/>
    <w:rsid w:val="42A75F29"/>
    <w:rsid w:val="42DF6F0F"/>
    <w:rsid w:val="42E71951"/>
    <w:rsid w:val="42E94094"/>
    <w:rsid w:val="430D2B7A"/>
    <w:rsid w:val="43523CC7"/>
    <w:rsid w:val="43535080"/>
    <w:rsid w:val="43842DF0"/>
    <w:rsid w:val="43A85CC7"/>
    <w:rsid w:val="444702A1"/>
    <w:rsid w:val="451505E1"/>
    <w:rsid w:val="451C716A"/>
    <w:rsid w:val="45365D0F"/>
    <w:rsid w:val="45B724A4"/>
    <w:rsid w:val="45CE654F"/>
    <w:rsid w:val="46217847"/>
    <w:rsid w:val="46365D5B"/>
    <w:rsid w:val="46B93683"/>
    <w:rsid w:val="46BB73A4"/>
    <w:rsid w:val="46BC5799"/>
    <w:rsid w:val="46C3345F"/>
    <w:rsid w:val="471215BA"/>
    <w:rsid w:val="47767709"/>
    <w:rsid w:val="480A0BF9"/>
    <w:rsid w:val="481436EE"/>
    <w:rsid w:val="48251A46"/>
    <w:rsid w:val="486002F0"/>
    <w:rsid w:val="488514B0"/>
    <w:rsid w:val="489458A8"/>
    <w:rsid w:val="48A3407C"/>
    <w:rsid w:val="48A340EF"/>
    <w:rsid w:val="48A8366F"/>
    <w:rsid w:val="48C12155"/>
    <w:rsid w:val="48C50660"/>
    <w:rsid w:val="48DE00B3"/>
    <w:rsid w:val="494D43F3"/>
    <w:rsid w:val="494F1968"/>
    <w:rsid w:val="49577410"/>
    <w:rsid w:val="4A5667B5"/>
    <w:rsid w:val="4A7B789E"/>
    <w:rsid w:val="4A7E1174"/>
    <w:rsid w:val="4A801BBE"/>
    <w:rsid w:val="4AD72DC9"/>
    <w:rsid w:val="4B0746B1"/>
    <w:rsid w:val="4B250C63"/>
    <w:rsid w:val="4B326C53"/>
    <w:rsid w:val="4B350A32"/>
    <w:rsid w:val="4B9640FD"/>
    <w:rsid w:val="4BA5439A"/>
    <w:rsid w:val="4C4E103F"/>
    <w:rsid w:val="4C993557"/>
    <w:rsid w:val="4CBF0795"/>
    <w:rsid w:val="4D076CC4"/>
    <w:rsid w:val="4D0F615C"/>
    <w:rsid w:val="4D4348F1"/>
    <w:rsid w:val="4D843918"/>
    <w:rsid w:val="4D8857A2"/>
    <w:rsid w:val="4D8B69F0"/>
    <w:rsid w:val="4DA04D99"/>
    <w:rsid w:val="4DA442CC"/>
    <w:rsid w:val="4DD073B4"/>
    <w:rsid w:val="4E124E67"/>
    <w:rsid w:val="4E141462"/>
    <w:rsid w:val="4E3727D9"/>
    <w:rsid w:val="4EA76287"/>
    <w:rsid w:val="4EC605CE"/>
    <w:rsid w:val="4F241E02"/>
    <w:rsid w:val="4F451865"/>
    <w:rsid w:val="4F7232A8"/>
    <w:rsid w:val="4FF02964"/>
    <w:rsid w:val="502F6F00"/>
    <w:rsid w:val="504C27C0"/>
    <w:rsid w:val="507915A8"/>
    <w:rsid w:val="507F6E3C"/>
    <w:rsid w:val="5095488C"/>
    <w:rsid w:val="50DF1C8D"/>
    <w:rsid w:val="50F64124"/>
    <w:rsid w:val="51223F03"/>
    <w:rsid w:val="51281B83"/>
    <w:rsid w:val="514B1544"/>
    <w:rsid w:val="51BE2806"/>
    <w:rsid w:val="51C82470"/>
    <w:rsid w:val="51D33ADE"/>
    <w:rsid w:val="51E34FBB"/>
    <w:rsid w:val="521D609A"/>
    <w:rsid w:val="521D6862"/>
    <w:rsid w:val="522977C8"/>
    <w:rsid w:val="526C15C4"/>
    <w:rsid w:val="527A4DD5"/>
    <w:rsid w:val="52936F54"/>
    <w:rsid w:val="52AA1648"/>
    <w:rsid w:val="52E72204"/>
    <w:rsid w:val="533A29A7"/>
    <w:rsid w:val="53426CC3"/>
    <w:rsid w:val="53646987"/>
    <w:rsid w:val="547903E4"/>
    <w:rsid w:val="54991D84"/>
    <w:rsid w:val="549B5815"/>
    <w:rsid w:val="54A96E4C"/>
    <w:rsid w:val="54B21E45"/>
    <w:rsid w:val="54C57A8A"/>
    <w:rsid w:val="54CD48E2"/>
    <w:rsid w:val="550B51B3"/>
    <w:rsid w:val="555007DC"/>
    <w:rsid w:val="55845DC0"/>
    <w:rsid w:val="56092D87"/>
    <w:rsid w:val="56277240"/>
    <w:rsid w:val="5633165A"/>
    <w:rsid w:val="563F7472"/>
    <w:rsid w:val="56440692"/>
    <w:rsid w:val="56482A21"/>
    <w:rsid w:val="56A24FC2"/>
    <w:rsid w:val="56C82C9E"/>
    <w:rsid w:val="56C92C7B"/>
    <w:rsid w:val="57090593"/>
    <w:rsid w:val="57240BA4"/>
    <w:rsid w:val="573E3690"/>
    <w:rsid w:val="57504649"/>
    <w:rsid w:val="57605364"/>
    <w:rsid w:val="579B0A45"/>
    <w:rsid w:val="57A65A7A"/>
    <w:rsid w:val="57CE06E4"/>
    <w:rsid w:val="57EC6798"/>
    <w:rsid w:val="581A709E"/>
    <w:rsid w:val="584B4EF1"/>
    <w:rsid w:val="58512FA6"/>
    <w:rsid w:val="585E2E39"/>
    <w:rsid w:val="58A65E81"/>
    <w:rsid w:val="58E0660E"/>
    <w:rsid w:val="58FF7121"/>
    <w:rsid w:val="59502048"/>
    <w:rsid w:val="59594906"/>
    <w:rsid w:val="596B3487"/>
    <w:rsid w:val="597A56A8"/>
    <w:rsid w:val="5988243C"/>
    <w:rsid w:val="59DA3DBF"/>
    <w:rsid w:val="5A391CA3"/>
    <w:rsid w:val="5A774CAD"/>
    <w:rsid w:val="5A7B0A86"/>
    <w:rsid w:val="5AFB7B76"/>
    <w:rsid w:val="5B110596"/>
    <w:rsid w:val="5B172EB7"/>
    <w:rsid w:val="5B196585"/>
    <w:rsid w:val="5B260660"/>
    <w:rsid w:val="5B314F8C"/>
    <w:rsid w:val="5BE734F7"/>
    <w:rsid w:val="5BEB2057"/>
    <w:rsid w:val="5C111D85"/>
    <w:rsid w:val="5C410572"/>
    <w:rsid w:val="5C5C4D5C"/>
    <w:rsid w:val="5C626DFE"/>
    <w:rsid w:val="5C761140"/>
    <w:rsid w:val="5CF667F0"/>
    <w:rsid w:val="5D5B582A"/>
    <w:rsid w:val="5D6044AC"/>
    <w:rsid w:val="5D721241"/>
    <w:rsid w:val="5D943465"/>
    <w:rsid w:val="5D9C7985"/>
    <w:rsid w:val="5DDB390F"/>
    <w:rsid w:val="5E0E2A23"/>
    <w:rsid w:val="5E185E50"/>
    <w:rsid w:val="5E221BF6"/>
    <w:rsid w:val="5E5200BB"/>
    <w:rsid w:val="5EA33D58"/>
    <w:rsid w:val="5EE831DE"/>
    <w:rsid w:val="5F2552E9"/>
    <w:rsid w:val="5F2D3BEB"/>
    <w:rsid w:val="5F4938F2"/>
    <w:rsid w:val="5F547EB1"/>
    <w:rsid w:val="5F5624FA"/>
    <w:rsid w:val="5F5E51A1"/>
    <w:rsid w:val="5F740D6A"/>
    <w:rsid w:val="5F9E1616"/>
    <w:rsid w:val="60634D7E"/>
    <w:rsid w:val="607622CF"/>
    <w:rsid w:val="60BB2F9F"/>
    <w:rsid w:val="60C042A5"/>
    <w:rsid w:val="615E1C6E"/>
    <w:rsid w:val="61A665D1"/>
    <w:rsid w:val="61A90773"/>
    <w:rsid w:val="61C95D47"/>
    <w:rsid w:val="61E11EA3"/>
    <w:rsid w:val="620B4CC8"/>
    <w:rsid w:val="624B1D64"/>
    <w:rsid w:val="62780A5E"/>
    <w:rsid w:val="62871FD1"/>
    <w:rsid w:val="62B23F45"/>
    <w:rsid w:val="62DD77E5"/>
    <w:rsid w:val="630D0A41"/>
    <w:rsid w:val="63184453"/>
    <w:rsid w:val="63271B8B"/>
    <w:rsid w:val="63583506"/>
    <w:rsid w:val="637F4829"/>
    <w:rsid w:val="6388250D"/>
    <w:rsid w:val="63B62AAE"/>
    <w:rsid w:val="64B10085"/>
    <w:rsid w:val="64BE302C"/>
    <w:rsid w:val="64F52AE0"/>
    <w:rsid w:val="654D7125"/>
    <w:rsid w:val="65DF48A4"/>
    <w:rsid w:val="660F69B1"/>
    <w:rsid w:val="662325E0"/>
    <w:rsid w:val="662917EC"/>
    <w:rsid w:val="663651B9"/>
    <w:rsid w:val="664E2A09"/>
    <w:rsid w:val="6681614D"/>
    <w:rsid w:val="66A67B0A"/>
    <w:rsid w:val="66BA44BA"/>
    <w:rsid w:val="66BD5744"/>
    <w:rsid w:val="66C27599"/>
    <w:rsid w:val="66D66567"/>
    <w:rsid w:val="66D7651C"/>
    <w:rsid w:val="674D6AB7"/>
    <w:rsid w:val="675E28E6"/>
    <w:rsid w:val="677147F8"/>
    <w:rsid w:val="678257A2"/>
    <w:rsid w:val="679B4AB0"/>
    <w:rsid w:val="68167C35"/>
    <w:rsid w:val="68373DE4"/>
    <w:rsid w:val="68772395"/>
    <w:rsid w:val="68B91FA8"/>
    <w:rsid w:val="68C160B6"/>
    <w:rsid w:val="68CF62E8"/>
    <w:rsid w:val="68E41A07"/>
    <w:rsid w:val="692F79E4"/>
    <w:rsid w:val="69302126"/>
    <w:rsid w:val="698E4B09"/>
    <w:rsid w:val="69A31841"/>
    <w:rsid w:val="69BF15F9"/>
    <w:rsid w:val="69FD29C5"/>
    <w:rsid w:val="6A1329A4"/>
    <w:rsid w:val="6A1C5870"/>
    <w:rsid w:val="6A267E72"/>
    <w:rsid w:val="6A341B55"/>
    <w:rsid w:val="6A451895"/>
    <w:rsid w:val="6A686CC6"/>
    <w:rsid w:val="6A7133A3"/>
    <w:rsid w:val="6ACD1D41"/>
    <w:rsid w:val="6AF47562"/>
    <w:rsid w:val="6AF76D84"/>
    <w:rsid w:val="6AF76ECF"/>
    <w:rsid w:val="6B1A1BEE"/>
    <w:rsid w:val="6B4B7B29"/>
    <w:rsid w:val="6B55228F"/>
    <w:rsid w:val="6B592452"/>
    <w:rsid w:val="6B7802C1"/>
    <w:rsid w:val="6BA04197"/>
    <w:rsid w:val="6BB41758"/>
    <w:rsid w:val="6C0C0F95"/>
    <w:rsid w:val="6C6E6E8E"/>
    <w:rsid w:val="6C72038E"/>
    <w:rsid w:val="6C7A000A"/>
    <w:rsid w:val="6CA23FD9"/>
    <w:rsid w:val="6CB2385A"/>
    <w:rsid w:val="6CBF721D"/>
    <w:rsid w:val="6CCD2EBD"/>
    <w:rsid w:val="6D771DAF"/>
    <w:rsid w:val="6D7C7574"/>
    <w:rsid w:val="6D99291D"/>
    <w:rsid w:val="6DA457E9"/>
    <w:rsid w:val="6DE4459D"/>
    <w:rsid w:val="6DE62E09"/>
    <w:rsid w:val="6E277BC6"/>
    <w:rsid w:val="6E845371"/>
    <w:rsid w:val="6E862723"/>
    <w:rsid w:val="6EB11A9A"/>
    <w:rsid w:val="6EF54441"/>
    <w:rsid w:val="6F1F1663"/>
    <w:rsid w:val="6FAE5901"/>
    <w:rsid w:val="6FB54926"/>
    <w:rsid w:val="6FC2551F"/>
    <w:rsid w:val="70180A19"/>
    <w:rsid w:val="70332418"/>
    <w:rsid w:val="70BB5320"/>
    <w:rsid w:val="70CC51D3"/>
    <w:rsid w:val="70D31209"/>
    <w:rsid w:val="715F29F3"/>
    <w:rsid w:val="718C5950"/>
    <w:rsid w:val="71A8457C"/>
    <w:rsid w:val="71F669CD"/>
    <w:rsid w:val="72274103"/>
    <w:rsid w:val="728E7701"/>
    <w:rsid w:val="729B5966"/>
    <w:rsid w:val="729E0918"/>
    <w:rsid w:val="72BE6E3D"/>
    <w:rsid w:val="72E5214E"/>
    <w:rsid w:val="731B5CF2"/>
    <w:rsid w:val="73D965B1"/>
    <w:rsid w:val="74083F1A"/>
    <w:rsid w:val="74805E79"/>
    <w:rsid w:val="74CC0045"/>
    <w:rsid w:val="75024B82"/>
    <w:rsid w:val="750D759B"/>
    <w:rsid w:val="7510244A"/>
    <w:rsid w:val="75331B1B"/>
    <w:rsid w:val="754A322A"/>
    <w:rsid w:val="757A5E1A"/>
    <w:rsid w:val="75854FC7"/>
    <w:rsid w:val="75BB5491"/>
    <w:rsid w:val="75C5743A"/>
    <w:rsid w:val="75D35A83"/>
    <w:rsid w:val="76387D9A"/>
    <w:rsid w:val="76903D24"/>
    <w:rsid w:val="769C2C29"/>
    <w:rsid w:val="76A24940"/>
    <w:rsid w:val="76AE686D"/>
    <w:rsid w:val="772D0373"/>
    <w:rsid w:val="775C1580"/>
    <w:rsid w:val="77D00CE9"/>
    <w:rsid w:val="78547893"/>
    <w:rsid w:val="7857396D"/>
    <w:rsid w:val="786E5087"/>
    <w:rsid w:val="78EF2862"/>
    <w:rsid w:val="78F105DB"/>
    <w:rsid w:val="78FB6D6A"/>
    <w:rsid w:val="79046680"/>
    <w:rsid w:val="7916616A"/>
    <w:rsid w:val="792F4C67"/>
    <w:rsid w:val="79903629"/>
    <w:rsid w:val="79986D45"/>
    <w:rsid w:val="799B296F"/>
    <w:rsid w:val="79C62F4F"/>
    <w:rsid w:val="79D269DD"/>
    <w:rsid w:val="7A234398"/>
    <w:rsid w:val="7A5615DF"/>
    <w:rsid w:val="7A904A86"/>
    <w:rsid w:val="7B0B5F0D"/>
    <w:rsid w:val="7B2F4D9D"/>
    <w:rsid w:val="7B72480E"/>
    <w:rsid w:val="7B8C1D7B"/>
    <w:rsid w:val="7BD32108"/>
    <w:rsid w:val="7C172310"/>
    <w:rsid w:val="7C5916B4"/>
    <w:rsid w:val="7C5C1813"/>
    <w:rsid w:val="7C671A02"/>
    <w:rsid w:val="7C960AF0"/>
    <w:rsid w:val="7C9D1365"/>
    <w:rsid w:val="7CB45432"/>
    <w:rsid w:val="7CE20F97"/>
    <w:rsid w:val="7D194FE0"/>
    <w:rsid w:val="7D5143A9"/>
    <w:rsid w:val="7D7C21D7"/>
    <w:rsid w:val="7DA81696"/>
    <w:rsid w:val="7DC91FA5"/>
    <w:rsid w:val="7EB42D5E"/>
    <w:rsid w:val="7EEA0DB2"/>
    <w:rsid w:val="7EFF1479"/>
    <w:rsid w:val="7F1A37C6"/>
    <w:rsid w:val="7F2A10F8"/>
    <w:rsid w:val="7F5B093A"/>
    <w:rsid w:val="7FEC0782"/>
    <w:rsid w:val="7FF5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Table Paragraph"/>
    <w:basedOn w:val="1"/>
    <w:qFormat/>
    <w:uiPriority w:val="1"/>
    <w:rPr>
      <w:rFonts w:ascii="宋体" w:hAnsi="宋体" w:eastAsia="宋体" w:cs="宋体"/>
      <w:lang w:val="zh-CN" w:bidi="zh-CN"/>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2894</Words>
  <Characters>3047</Characters>
  <Lines>22</Lines>
  <Paragraphs>6</Paragraphs>
  <TotalTime>5</TotalTime>
  <ScaleCrop>false</ScaleCrop>
  <LinksUpToDate>false</LinksUpToDate>
  <CharactersWithSpaces>3063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洋芋</cp:lastModifiedBy>
  <cp:lastPrinted>2023-06-15T03:45:00Z</cp:lastPrinted>
  <dcterms:modified xsi:type="dcterms:W3CDTF">2026-03-23T07:29:25Z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45106A24442041F3A08FC5117CAE96CB</vt:lpwstr>
  </property>
  <property fmtid="{D5CDD505-2E9C-101B-9397-08002B2CF9AE}" pid="4" name="KSOTemplateDocerSaveRecord">
    <vt:lpwstr>eyJoZGlkIjoiMDM4MGJhYTY2MzkyNGIzZWY5ZDliYjRjZTgyOGEyYjMiLCJ1c2VySWQiOiIxMjE1Nzc2Mjk0In0=</vt:lpwstr>
  </property>
</Properties>
</file>